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rPr>
          <w:rFonts w:ascii="Times Roman" w:cs="Times Roman" w:hAnsi="Times Roman" w:eastAsia="Times Roman"/>
          <w:outline w:val="0"/>
          <w:color w:val="242424"/>
          <w:sz w:val="36"/>
          <w:szCs w:val="36"/>
          <w:shd w:val="clear" w:color="auto" w:fill="ffffff"/>
          <w14:textFill>
            <w14:solidFill>
              <w14:srgbClr w14:val="242424"/>
            </w14:solidFill>
          </w14:textFill>
        </w:rPr>
      </w:pPr>
      <w:r>
        <w:rPr>
          <w:rFonts w:ascii="Times Roman" w:hAnsi="Times Roman"/>
          <w:outline w:val="0"/>
          <w:color w:val="242424"/>
          <w:sz w:val="36"/>
          <w:szCs w:val="36"/>
          <w:shd w:val="clear" w:color="auto" w:fill="ffffff"/>
          <w:rtl w:val="0"/>
          <w:lang w:val="en-US"/>
          <w14:textFill>
            <w14:solidFill>
              <w14:srgbClr w14:val="242424"/>
            </w14:solidFill>
          </w14:textFill>
        </w:rPr>
        <w:t>Your Right to Know / Peter Cameron</w:t>
      </w:r>
    </w:p>
    <w:p>
      <w:pPr>
        <w:pStyle w:val="Default"/>
        <w:suppressAutoHyphens w:val="1"/>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rPr>
          <w:rFonts w:ascii="Times Roman" w:cs="Times Roman" w:hAnsi="Times Roman" w:eastAsia="Times Roman"/>
          <w:outline w:val="0"/>
          <w:color w:val="242424"/>
          <w:sz w:val="50"/>
          <w:szCs w:val="50"/>
          <w:shd w:val="clear" w:color="auto" w:fill="ffffff"/>
          <w14:textFill>
            <w14:solidFill>
              <w14:srgbClr w14:val="242424"/>
            </w14:solidFill>
          </w14:textFill>
        </w:rPr>
      </w:pPr>
      <w:r>
        <w:rPr>
          <w:rFonts w:ascii="Times Roman" w:hAnsi="Times Roman"/>
          <w:outline w:val="0"/>
          <w:color w:val="242424"/>
          <w:sz w:val="50"/>
          <w:szCs w:val="50"/>
          <w:shd w:val="clear" w:color="auto" w:fill="ffffff"/>
          <w:rtl w:val="0"/>
          <w:lang w:val="en-US"/>
          <w14:textFill>
            <w14:solidFill>
              <w14:srgbClr w14:val="242424"/>
            </w14:solidFill>
          </w14:textFill>
        </w:rPr>
        <w:t>Names of police should be public</w:t>
      </w:r>
    </w:p>
    <w:p>
      <w:pPr>
        <w:pStyle w:val="Default"/>
        <w:suppressAutoHyphens w:val="1"/>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In 2024, a sheriff</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deputy working for the Outagamie County Sheriff</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 xml:space="preserve">s Department was forced out for being lousy at his job. But even though the deputy, </w:t>
      </w:r>
      <w:r>
        <w:rPr>
          <w:rFonts w:ascii="Times Roman" w:hAnsi="Times Roman"/>
          <w:outline w:val="0"/>
          <w:color w:val="191919"/>
          <w:sz w:val="20"/>
          <w:szCs w:val="20"/>
          <w:shd w:val="clear" w:color="auto" w:fill="f8f7f5"/>
          <w:rtl w:val="0"/>
          <w:lang w:val="en-US"/>
          <w14:textFill>
            <w14:solidFill>
              <w14:srgbClr w14:val="191919"/>
            </w14:solidFill>
          </w14:textFill>
        </w:rPr>
        <w:t xml:space="preserve">Cristian Morales, was </w:t>
      </w:r>
      <w:r>
        <w:rPr>
          <w:rFonts w:ascii="Times Roman" w:hAnsi="Times Roman"/>
          <w:outline w:val="0"/>
          <w:color w:val="242424"/>
          <w:sz w:val="20"/>
          <w:szCs w:val="20"/>
          <w:shd w:val="clear" w:color="auto" w:fill="ffffff"/>
          <w:rtl w:val="0"/>
          <w:lang w:val="en-US"/>
          <w14:textFill>
            <w14:solidFill>
              <w14:srgbClr w14:val="242424"/>
            </w14:solidFill>
          </w14:textFill>
        </w:rPr>
        <w:t>flagged in the state</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negative separation database, he ended up being hired a few months later by the Menasha Police Department.</w:t>
      </w:r>
      <w:r>
        <w:rPr>
          <w:rFonts w:ascii="Times Roman" w:hAnsi="Times Roman" w:hint="default"/>
          <w:outline w:val="0"/>
          <w:color w:val="242424"/>
          <w:sz w:val="20"/>
          <w:szCs w:val="20"/>
          <w:shd w:val="clear" w:color="auto" w:fill="ffffff"/>
          <w:rtl w:val="0"/>
          <w14:textFill>
            <w14:solidFill>
              <w14:srgbClr w14:val="242424"/>
            </w14:solidFill>
          </w14:textFill>
        </w:rPr>
        <w:t> </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Earlier this year, Morales was arrested and accused of stalking an ex-girlfriend using the city</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FLOCK camera system. He</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 xml:space="preserve">s now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"https://thebadgerproject.org/2026/04/21/menasha-pd-hired-a-wandering-officer-now-hes-been-arrested-and-the-city-could-get-sued/"</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facing</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criminal charges.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While some folks are suited for the difficult work of being a law enforcement officer, many are not. It</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hardly a controversial statement to say that police, who can arrest people and use force when necessary, should be held to a higher standard than the rest of us.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And yet our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"https://thebadgerproject.org/category/law-enforcement/"</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reporting</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at The Badger Project has found that police chiefs and sheriffs in Wisconsin often give these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wandering officers</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second or third chances, despite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"https://yalelawjournal.org/article/the-wandering-officer"</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research</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saying that officers fired or forced out for misconduct are more likely than other cops to reoffend.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At our last count,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"https://thebadgerproject.org/2024/04/10/more-than-300-law-enforcement-officers-back-on-the-job-in-wisconsin-after-being-fired-or-forced-out-up-50-from-2021/"</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more than 300</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active officers in Wisconsin had been fired or forced out of previous law enforcement jobs. Many of these separations involved novices who couldn</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 cut it in a tough job during their probationary period, when the bar for termination is low. But some, we</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 xml:space="preserve">ve found, lost jobs for misconduct, including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"https://thebadgerproject.org/2026/05/12/ex-la-crosse-cop-arrested-in-minnesota-for-dui-now-working-for-sparta-pd/"</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drunk driving</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14:textFill>
            <w14:solidFill>
              <w14:srgbClr w14:val="242424"/>
            </w14:solidFill>
          </w14:textFill>
        </w:rPr>
        <w:t xml:space="preserve">,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"https://thebadgerproject.org/2026/03/11/ex-la-crosse-cop-accused-of-writing-misleading-report-now-at-nearby-pd/"</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writing misleading reports</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and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"https://thebadgerproject.org/2026/01/06/neenah-cop-quit-last-policing-job-amid-accusations-of-sexist-and-racist-remarks/"</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using sexist and racist language</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In Wisconsin, law enforcement agencies can report to the state DOJ when they fire or force out an officer, so we can track when that cop goes on to get hired by another policing agency. But we are currently unable to track these wandering officers who have been fired or forced out in other states and come to work here, because we don</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 have a list of all law enforcement officers here.</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That</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 xml:space="preserve">s why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"http://thebadgerproject.org/"</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The Badger Project</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along with our partners at the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"https://invisible.institute/"</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s-ES_tradnl"/>
          <w14:textFill>
            <w14:solidFill>
              <w14:srgbClr w14:val="0000EE"/>
            </w14:solidFill>
          </w14:textFill>
        </w:rPr>
        <w:t>Invisible Institute</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a Chicago-based nonprofit journalism organization, requested the full list of names and work histories from the Wisconsin Department of Justice, and sued when it refused.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In April, Dane County Circuit Court Judge Rhonda Lanford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"https://thebadgerproject.org/2026/04/28/wisconsin-doj-must-release-statewide-list-of-16000-cops-judge-rules/"</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ruled</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in our favor and ordered the DOJ to release the records. She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"https://thebadgerproject.org/wp-content/uploads/2026/04/118-2026-04-28-Order-Granting-P-SJ.pdf"</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cited</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a previous state appeals court ruling that said law enforcement officers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necessarily relinquish certain privacy and reputational rights by virtue of the amount of trust society places in them and must be subject to public scrutiny.</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Prominent members of Wisconsin</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 xml:space="preserve">s law enforcement community have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"https://wppa.com/wisconsin-state-journal-editorial-dane-county-court-wrong-to-release-police-officer-data/"</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lang w:val="en-US"/>
          <w14:textFill>
            <w14:solidFill>
              <w14:srgbClr w14:val="0000EE"/>
            </w14:solidFill>
          </w14:textFill>
        </w:rPr>
        <w:t>criticized</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the judge</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ruling, saying it goes too far. An appeal could be coming.</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Jim Palmer, executive director of the Wisconsin Professional Police Association, wrote an </w: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instrText xml:space="preserve"> HYPERLINK "https://wppa.com/wisconsin-state-journal-editorial-dane-county-court-wrong-to-release-police-officer-data/"</w:instrText>
      </w:r>
      <w:r>
        <w:rPr>
          <w:rStyle w:val="Hyperlink.0"/>
          <w:rFonts w:ascii="Times Roman" w:cs="Times Roman" w:hAnsi="Times Roman" w:eastAsia="Times Roman"/>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outline w:val="0"/>
          <w:color w:val="0000ee"/>
          <w:sz w:val="20"/>
          <w:szCs w:val="20"/>
          <w:u w:val="single"/>
          <w:shd w:val="clear" w:color="auto" w:fill="ffffff"/>
          <w:rtl w:val="0"/>
          <w14:textFill>
            <w14:solidFill>
              <w14:srgbClr w14:val="0000EE"/>
            </w14:solidFill>
          </w14:textFill>
        </w:rPr>
        <w:t>op-ed</w:t>
      </w:r>
      <w:r>
        <w:rPr>
          <w:rFonts w:ascii="Times Roman" w:cs="Times Roman" w:hAnsi="Times Roman" w:eastAsia="Times Roman"/>
          <w:outline w:val="0"/>
          <w:color w:val="242424"/>
          <w:sz w:val="20"/>
          <w:szCs w:val="20"/>
          <w:shd w:val="clear" w:color="auto" w:fill="ffffff"/>
          <w14:textFill>
            <w14:solidFill>
              <w14:srgbClr w14:val="242424"/>
            </w14:solidFill>
          </w14:textFill>
        </w:rPr>
        <w:fldChar w:fldCharType="end" w:fldLock="0"/>
      </w:r>
      <w:r>
        <w:rPr>
          <w:rFonts w:ascii="Times Roman" w:hAnsi="Times Roman"/>
          <w:outline w:val="0"/>
          <w:color w:val="242424"/>
          <w:sz w:val="20"/>
          <w:szCs w:val="20"/>
          <w:shd w:val="clear" w:color="auto" w:fill="ffffff"/>
          <w:rtl w:val="0"/>
          <w:lang w:val="en-US"/>
          <w14:textFill>
            <w14:solidFill>
              <w14:srgbClr w14:val="242424"/>
            </w14:solidFill>
          </w14:textFill>
        </w:rPr>
        <w:t xml:space="preserve"> saying the release of these records could put officers </w:t>
      </w:r>
      <w:r>
        <w:rPr>
          <w:rStyle w:val="None"/>
          <w:rFonts w:ascii="Times Roman" w:hAnsi="Times Roman"/>
          <w:outline w:val="0"/>
          <w:color w:val="003768"/>
          <w:sz w:val="20"/>
          <w:szCs w:val="20"/>
          <w:shd w:val="clear" w:color="auto" w:fill="ffffff"/>
          <w:rtl w:val="0"/>
          <w14:textFill>
            <w14:solidFill>
              <w14:srgbClr w14:val="003768"/>
            </w14:solidFill>
          </w14:textFill>
        </w:rPr>
        <w:t xml:space="preserve">at </w:t>
      </w:r>
      <w:r>
        <w:rPr>
          <w:rStyle w:val="None"/>
          <w:rFonts w:ascii="Times Roman" w:hAnsi="Times Roman" w:hint="default"/>
          <w:outline w:val="0"/>
          <w:color w:val="003768"/>
          <w:sz w:val="20"/>
          <w:szCs w:val="20"/>
          <w:shd w:val="clear" w:color="auto" w:fill="ffffff"/>
          <w:rtl w:val="1"/>
          <w:lang w:val="ar-SA" w:bidi="ar-SA"/>
          <w14:textFill>
            <w14:solidFill>
              <w14:srgbClr w14:val="003768"/>
            </w14:solidFill>
          </w14:textFill>
        </w:rPr>
        <w:t>“</w:t>
      </w:r>
      <w:r>
        <w:rPr>
          <w:rStyle w:val="None"/>
          <w:rFonts w:ascii="Times Roman" w:hAnsi="Times Roman"/>
          <w:outline w:val="0"/>
          <w:color w:val="003768"/>
          <w:sz w:val="20"/>
          <w:szCs w:val="20"/>
          <w:shd w:val="clear" w:color="auto" w:fill="ffffff"/>
          <w:rtl w:val="0"/>
          <w:lang w:val="en-US"/>
          <w14:textFill>
            <w14:solidFill>
              <w14:srgbClr w14:val="003768"/>
            </w14:solidFill>
          </w14:textFill>
        </w:rPr>
        <w:t>risk of harassment, doxxing and worse.</w:t>
      </w:r>
      <w:r>
        <w:rPr>
          <w:rStyle w:val="None"/>
          <w:rFonts w:ascii="Times Roman" w:hAnsi="Times Roman" w:hint="default"/>
          <w:outline w:val="0"/>
          <w:color w:val="003768"/>
          <w:sz w:val="20"/>
          <w:szCs w:val="20"/>
          <w:shd w:val="clear" w:color="auto" w:fill="ffffff"/>
          <w:rtl w:val="0"/>
          <w14:textFill>
            <w14:solidFill>
              <w14:srgbClr w14:val="003768"/>
            </w14:solidFill>
          </w14:textFill>
        </w:rPr>
        <w:t xml:space="preserve">” </w:t>
      </w:r>
      <w:r>
        <w:rPr>
          <w:rStyle w:val="None"/>
          <w:rFonts w:ascii="Times Roman" w:hAnsi="Times Roman"/>
          <w:outline w:val="0"/>
          <w:color w:val="003768"/>
          <w:sz w:val="20"/>
          <w:szCs w:val="20"/>
          <w:shd w:val="clear" w:color="auto" w:fill="ffffff"/>
          <w:rtl w:val="0"/>
          <w:lang w:val="en-US"/>
          <w14:textFill>
            <w14:solidFill>
              <w14:srgbClr w14:val="003768"/>
            </w14:solidFill>
          </w14:textFill>
        </w:rPr>
        <w:t xml:space="preserve">He said </w:t>
      </w:r>
      <w:r>
        <w:rPr>
          <w:rFonts w:ascii="Times Roman" w:hAnsi="Times Roman"/>
          <w:outline w:val="0"/>
          <w:color w:val="242424"/>
          <w:sz w:val="20"/>
          <w:szCs w:val="20"/>
          <w:shd w:val="clear" w:color="auto" w:fill="ffffff"/>
          <w:rtl w:val="0"/>
          <w:lang w:val="en-US"/>
          <w14:textFill>
            <w14:solidFill>
              <w14:srgbClr w14:val="242424"/>
            </w14:solidFill>
          </w14:textFill>
        </w:rPr>
        <w:t>officers</w:t>
      </w:r>
      <w:r>
        <w:rPr>
          <w:rFonts w:ascii="Times Roman" w:hAnsi="Times Roman" w:hint="default"/>
          <w:outline w:val="0"/>
          <w:color w:val="242424"/>
          <w:sz w:val="20"/>
          <w:szCs w:val="20"/>
          <w:shd w:val="clear" w:color="auto" w:fill="ffffff"/>
          <w:rtl w:val="1"/>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birthdates are part of the records whose release we are seeking. Not so: While our initial records request asked for birthdates or birth years (to distinguish between officers with the same name), our lawsuit only asked for birth years, not months and days.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The state DOJ raised another objection, saying release of the names would jeopardize undercover officers. But what cop uses his or her real name when working undercover? We did not request photos of the officers.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I salute and thank the men and women in law enforcement who are serving their communities. I don</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 envy the chiefs and sheriffs who must staff their agencies at a time when finding good job applicants for law enforcement jobs is as hard as ever.</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And you know what? We at The Badger Project are not against second chances for cops who screwed up. Perhaps an officer who made a fireable mistake has learned from it. Whether that officer should continue in law enforcement is not for us to decide. Our job, as journalists, is to shine a light on those in power and get facts to the public who are being policed by these folks.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If chiefs or sheriffs want to hire an officer with problems in the past, they should say so publicly and defend their decision. They just can</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 make these decisions in secret.</w:t>
      </w:r>
    </w:p>
    <w:p>
      <w:pPr>
        <w:pStyle w:val="Default"/>
        <w:suppressAutoHyphens w:val="1"/>
        <w:ind w:firstLine="274"/>
      </w:pPr>
      <w:r>
        <w:rPr>
          <w:rFonts w:ascii="Times Roman" w:hAnsi="Times Roman"/>
          <w:i w:val="1"/>
          <w:iCs w:val="1"/>
          <w:outline w:val="0"/>
          <w:color w:val="3d3d3d"/>
          <w:sz w:val="20"/>
          <w:szCs w:val="20"/>
          <w:shd w:val="clear" w:color="auto" w:fill="ffffff"/>
          <w:rtl w:val="0"/>
          <w:lang w:val="en-US"/>
          <w14:textFill>
            <w14:solidFill>
              <w14:srgbClr w14:val="3D3D3D"/>
            </w14:solidFill>
          </w14:textFill>
        </w:rPr>
        <w:t>Your Right to Know is a monthly column distributed by the Wisconsin Freedom of Information Council (</w:t>
      </w:r>
      <w:r>
        <w:rPr>
          <w:rStyle w:val="Hyperlink.1"/>
          <w:rFonts w:ascii="Times Roman" w:cs="Times Roman" w:hAnsi="Times Roman" w:eastAsia="Times Roman"/>
          <w:i w:val="1"/>
          <w:iCs w:val="1"/>
          <w:outline w:val="0"/>
          <w:color w:val="d66a12"/>
          <w:sz w:val="20"/>
          <w:szCs w:val="20"/>
          <w:shd w:val="clear" w:color="auto" w:fill="ffffff"/>
          <w14:textFill>
            <w14:solidFill>
              <w14:srgbClr w14:val="D66A12"/>
            </w14:solidFill>
          </w14:textFill>
        </w:rPr>
        <w:fldChar w:fldCharType="begin" w:fldLock="0"/>
      </w:r>
      <w:r>
        <w:rPr>
          <w:rStyle w:val="Hyperlink.1"/>
          <w:rFonts w:ascii="Times Roman" w:cs="Times Roman" w:hAnsi="Times Roman" w:eastAsia="Times Roman"/>
          <w:i w:val="1"/>
          <w:iCs w:val="1"/>
          <w:outline w:val="0"/>
          <w:color w:val="d66a12"/>
          <w:sz w:val="20"/>
          <w:szCs w:val="20"/>
          <w:shd w:val="clear" w:color="auto" w:fill="ffffff"/>
          <w14:textFill>
            <w14:solidFill>
              <w14:srgbClr w14:val="D66A12"/>
            </w14:solidFill>
          </w14:textFill>
        </w:rPr>
        <w:instrText xml:space="preserve"> HYPERLINK "https://wisfoic.org/"</w:instrText>
      </w:r>
      <w:r>
        <w:rPr>
          <w:rStyle w:val="Hyperlink.1"/>
          <w:rFonts w:ascii="Times Roman" w:cs="Times Roman" w:hAnsi="Times Roman" w:eastAsia="Times Roman"/>
          <w:i w:val="1"/>
          <w:iCs w:val="1"/>
          <w:outline w:val="0"/>
          <w:color w:val="d66a12"/>
          <w:sz w:val="20"/>
          <w:szCs w:val="20"/>
          <w:shd w:val="clear" w:color="auto" w:fill="ffffff"/>
          <w14:textFill>
            <w14:solidFill>
              <w14:srgbClr w14:val="D66A12"/>
            </w14:solidFill>
          </w14:textFill>
        </w:rPr>
        <w:fldChar w:fldCharType="separate" w:fldLock="0"/>
      </w:r>
      <w:r>
        <w:rPr>
          <w:rStyle w:val="Hyperlink.1"/>
          <w:rFonts w:ascii="Times Roman" w:hAnsi="Times Roman"/>
          <w:i w:val="1"/>
          <w:iCs w:val="1"/>
          <w:outline w:val="0"/>
          <w:color w:val="d66a12"/>
          <w:sz w:val="20"/>
          <w:szCs w:val="20"/>
          <w:shd w:val="clear" w:color="auto" w:fill="ffffff"/>
          <w:rtl w:val="0"/>
          <w:lang w:val="pt-PT"/>
          <w14:textFill>
            <w14:solidFill>
              <w14:srgbClr w14:val="D66A12"/>
            </w14:solidFill>
          </w14:textFill>
        </w:rPr>
        <w:t>wisfoic.org</w:t>
      </w:r>
      <w:r>
        <w:rPr>
          <w:rFonts w:ascii="Times Roman" w:cs="Times Roman" w:hAnsi="Times Roman" w:eastAsia="Times Roman"/>
          <w:i w:val="1"/>
          <w:iCs w:val="1"/>
          <w:outline w:val="0"/>
          <w:color w:val="3d3d3d"/>
          <w:sz w:val="20"/>
          <w:szCs w:val="20"/>
          <w:shd w:val="clear" w:color="auto" w:fill="ffffff"/>
          <w14:textFill>
            <w14:solidFill>
              <w14:srgbClr w14:val="3D3D3D"/>
            </w14:solidFill>
          </w14:textFill>
        </w:rPr>
        <w:fldChar w:fldCharType="end" w:fldLock="0"/>
      </w:r>
      <w:r>
        <w:rPr>
          <w:rFonts w:ascii="Times Roman" w:hAnsi="Times Roman"/>
          <w:i w:val="1"/>
          <w:iCs w:val="1"/>
          <w:outline w:val="0"/>
          <w:color w:val="3d3d3d"/>
          <w:sz w:val="20"/>
          <w:szCs w:val="20"/>
          <w:shd w:val="clear" w:color="auto" w:fill="ffffff"/>
          <w:rtl w:val="0"/>
          <w:lang w:val="en-US"/>
          <w14:textFill>
            <w14:solidFill>
              <w14:srgbClr w14:val="3D3D3D"/>
            </w14:solidFill>
          </w14:textFill>
        </w:rPr>
        <w:t>), a nonprofit, nonpartisan group dedicated to open government. Peter Cameron is managing editor of The Badger Project, a nonprofit news outlet.</w:t>
      </w:r>
      <w:r>
        <w:rPr>
          <w:rStyle w:val="None"/>
          <w:rFonts w:ascii="Times Roman" w:cs="Times Roman" w:hAnsi="Times Roman" w:eastAsia="Times Roman"/>
          <w:i w:val="0"/>
          <w:iCs w:val="0"/>
          <w:outline w:val="0"/>
          <w:color w:val="242424"/>
          <w:sz w:val="20"/>
          <w:szCs w:val="20"/>
          <w:shd w:val="clear" w:color="auto" w:fill="ffffff"/>
          <w14:textFill>
            <w14:solidFill>
              <w14:srgbClr w14:val="242424"/>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ee"/>
      <w:u w:val="single"/>
      <w14:textFill>
        <w14:solidFill>
          <w14:srgbClr w14:val="0000EE"/>
        </w14:solidFill>
      </w14:textFill>
    </w:rPr>
  </w:style>
  <w:style w:type="character" w:styleId="Hyperlink.1">
    <w:name w:val="Hyperlink.1"/>
    <w:basedOn w:val="None"/>
    <w:next w:val="Hyperlink.1"/>
    <w:rPr>
      <w:outline w:val="0"/>
      <w:color w:val="d66a12"/>
      <w14:textFill>
        <w14:solidFill>
          <w14:srgbClr w14:val="D66A12"/>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