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﻿WISPOLITICS: Top court unites in Wolfe-Elections Commission case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often-divided state Supreme Court the other day issued a unanimous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decision on a controversial case.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Such unity is worth noting in these days of bitter partisanship and 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April state Supreme Court race that will cost tens of millions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dollars to determine ideological control of the high court.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case centers on Meagan Wolfe, the administrator of the bipartisan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Elections Commission. The ruling will allow her to continue serving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role indefinitely. And it brings to an end an effort by GOP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lawmakers to remove Wolfe from the post, spurred on by complaints over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how the 2020 election was conducted.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Wolfe in reacting gave no indication how long she plans to continue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serving as the Elections Commission administrator. She only focused 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upcoming spring election and the work of the state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local clerks.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Serving beside them is an honor, and Wisconsinites are lucky to have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them,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Wolfe said in a statement.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have every confidence that our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clerks will continue to deliver fair and accurate elections to all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 communities.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242424"/>
            </w14:solidFill>
          </w14:textFill>
        </w:rPr>
        <w:t>Senate Majority Leader Devin LeMahieu, R-Oostburg, and Senate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President Mary Felzkowski, R-Tomahawk, in a joint statement said they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were disappointed with the court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ruling. They also took a shot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three Dem appointees to the Elections Commission, saying they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have decided that Wisconsinites do not get a say in who administers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242424"/>
            </w14:solidFill>
          </w14:textFill>
        </w:rPr>
        <w:t>our elections.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Senate Republicans will continue to do everything we can to ensure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Wisconsin has free and fair elections and restore integrity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process,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they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political and legal background is extensive.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Seven years ago, Wolfe was elevated from assistant administrator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interim leader after the GOP-controlled state Senate voted to reject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nomination of her predecessor Mike Haas over his work for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former Government Accountability Board and its connection to the John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Doe probe of former GOP Gov. Scott Walker.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 year later, the Senate unanimously confirmed her for a four-year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term. But since the 2020 election, some GOP lawmakers have been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looking for a way to replace her. That includes a vote to fire her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2023 that Republican lawmakers later acknowledged was symbolic. Later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came a push to impeach her from the post.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2023, the three GOP appointees on the six-member Elections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Commission voted to reappoint Wolfe as they hoped to then submit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nomination to the Republican-controlled state Senate for confirmation.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the three Dem commissioners abstained, arguing the body needed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least four members to support an appointment and Wolfe could serve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job indefinitely. That prompted the legal skirmish over her status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 the agency administrator.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high court found state law requires the six-member Elections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Commission to appoint a new administrator only if a vacancy occurs. It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also ruled there is no vacancy with Wolfe continuing to serve in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role even though the original four-year appointment expired in 2023.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doing so, the court cited a previous ruling in a similar case that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allowed one of Walker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appointees to continue serving on the Natural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Resources Board even after his term expired.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Citing that decision, conservative Chief Justice Annette Ziegler wrote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for the unanimous court that,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WEC does not have a duty to appoint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new administrator to replace Wolfe simply because her term has ended.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2022 decision found an appointee could continue serving on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Natural Resources Board even though his term had expired in May 2021.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state Department of Justice under Dem Attorney General Josh Kaul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filed suit seeking to force Wausau dentist Fred Prehn off the board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after he declined to step down once his six-year appointment had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expired. The Walker appointee cited past court precedent that 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appointee could continue serving in a role until the Senate confirmed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 replacement.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Three liberal justices still on the court from that case dissented 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4-3 ruling. In the Wolfe ruling, liberal Justice Ann Walsh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Bradley wrote a concurring opinion that she still disagreed with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 xml:space="preserve">Prehn decision. 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Joined by colleagues Rebecca Dallet and Jill Karfosky,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Bradley wrote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it may behoove us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give that decision a second look,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though no parties asked the court to overturn that decision in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Wolfe case.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Ann Walsh Bradley cited Dallet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dissent in that 2022 case that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majority opinion rested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 shaky ground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the possibility it could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lead to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absurd results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such as Prehn serving as long as he wanted,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 long as the state Senate didn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confirm a successor nominated by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governor.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more, go to www.wispolitics.com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