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A4" w:rsidRPr="000D636E" w:rsidRDefault="008F3470" w:rsidP="000D636E">
      <w:pPr>
        <w:rPr>
          <w:rFonts w:ascii="Franklin Gothic Book" w:hAnsi="Franklin Gothic Book"/>
          <w:b/>
        </w:rPr>
      </w:pPr>
      <w:r w:rsidRPr="00FA17BC">
        <w:rPr>
          <w:rFonts w:ascii="Franklin Gothic Book" w:hAnsi="Franklin Gothic Book" w:cstheme="minorHAnsi"/>
          <w:b/>
        </w:rPr>
        <w:t>Fiscal Facts:</w:t>
      </w:r>
      <w:r w:rsidR="00123DCB" w:rsidRPr="00FA17BC">
        <w:rPr>
          <w:rFonts w:ascii="Franklin Gothic Book" w:hAnsi="Franklin Gothic Book"/>
          <w:b/>
        </w:rPr>
        <w:t xml:space="preserve"> </w:t>
      </w:r>
      <w:r w:rsidR="000D636E" w:rsidRPr="000D636E">
        <w:rPr>
          <w:rFonts w:ascii="Franklin Gothic Book" w:hAnsi="Franklin Gothic Book"/>
          <w:b/>
        </w:rPr>
        <w:t>Act 12 Benefits Continue in 2025, But Fiscal Challenges Loom for Milwaukee County</w:t>
      </w:r>
    </w:p>
    <w:p w:rsidR="000D636E" w:rsidRDefault="000D636E" w:rsidP="002D12CF">
      <w:pPr>
        <w:rPr>
          <w:rFonts w:ascii="Franklin Gothic Book" w:hAnsi="Franklin Gothic Book"/>
          <w:b/>
        </w:rPr>
      </w:pPr>
    </w:p>
    <w:p w:rsidR="000D636E" w:rsidRDefault="000D636E" w:rsidP="002D12CF">
      <w:pPr>
        <w:rPr>
          <w:rFonts w:ascii="Franklin Gothic Book" w:hAnsi="Franklin Gothic Book"/>
        </w:rPr>
      </w:pPr>
      <w:r w:rsidRPr="000D636E">
        <w:rPr>
          <w:rFonts w:ascii="Franklin Gothic Book" w:hAnsi="Franklin Gothic Book"/>
        </w:rPr>
        <w:t>Despite a mid-year budget deficit that emerged this summer, Milwaukee County’s 2025 budget proposal largely avoids harmful service cuts, while boosting spending on public safety and limit</w:t>
      </w:r>
      <w:r>
        <w:rPr>
          <w:rFonts w:ascii="Franklin Gothic Book" w:hAnsi="Franklin Gothic Book"/>
        </w:rPr>
        <w:t>ing withdrawals from reserves.</w:t>
      </w:r>
    </w:p>
    <w:p w:rsidR="000D636E" w:rsidRDefault="000D636E" w:rsidP="002D12CF">
      <w:pPr>
        <w:rPr>
          <w:rFonts w:ascii="Franklin Gothic Book" w:hAnsi="Franklin Gothic Book"/>
        </w:rPr>
      </w:pPr>
    </w:p>
    <w:p w:rsidR="009B77B8" w:rsidRDefault="000D636E" w:rsidP="002D12CF">
      <w:pPr>
        <w:rPr>
          <w:rFonts w:ascii="Franklin Gothic Book" w:hAnsi="Franklin Gothic Book"/>
        </w:rPr>
      </w:pPr>
      <w:r w:rsidRPr="000D636E">
        <w:rPr>
          <w:rFonts w:ascii="Franklin Gothic Book" w:hAnsi="Franklin Gothic Book"/>
        </w:rPr>
        <w:t>The b</w:t>
      </w:r>
      <w:r w:rsidR="009B77B8">
        <w:rPr>
          <w:rFonts w:ascii="Franklin Gothic Book" w:hAnsi="Franklin Gothic Book"/>
        </w:rPr>
        <w:t>udget shows the county has made</w:t>
      </w:r>
      <w:r w:rsidRPr="000D636E">
        <w:rPr>
          <w:rFonts w:ascii="Franklin Gothic Book" w:hAnsi="Franklin Gothic Book"/>
        </w:rPr>
        <w:t xml:space="preserve"> progress in reducing its structural budget deficit, thanks largely to a new s</w:t>
      </w:r>
      <w:r w:rsidR="003B4BA5">
        <w:rPr>
          <w:rFonts w:ascii="Franklin Gothic Book" w:hAnsi="Franklin Gothic Book"/>
        </w:rPr>
        <w:t>tate law, 2023 Act 12, that</w:t>
      </w:r>
      <w:r w:rsidRPr="000D636E">
        <w:rPr>
          <w:rFonts w:ascii="Franklin Gothic Book" w:hAnsi="Franklin Gothic Book"/>
        </w:rPr>
        <w:t xml:space="preserve"> increased </w:t>
      </w:r>
      <w:r>
        <w:rPr>
          <w:rFonts w:ascii="Franklin Gothic Book" w:hAnsi="Franklin Gothic Book"/>
        </w:rPr>
        <w:t>state aid to counties and authorized Milwaukee County to increase its sales tax.</w:t>
      </w:r>
      <w:r w:rsidR="009B77B8">
        <w:rPr>
          <w:rFonts w:ascii="Franklin Gothic Book" w:hAnsi="Franklin Gothic Book"/>
        </w:rPr>
        <w:t xml:space="preserve"> </w:t>
      </w:r>
      <w:r w:rsidRPr="000D636E">
        <w:rPr>
          <w:rFonts w:ascii="Franklin Gothic Book" w:hAnsi="Franklin Gothic Book"/>
        </w:rPr>
        <w:t>Th</w:t>
      </w:r>
      <w:r w:rsidR="009B77B8">
        <w:rPr>
          <w:rFonts w:ascii="Franklin Gothic Book" w:hAnsi="Franklin Gothic Book"/>
        </w:rPr>
        <w:t>is</w:t>
      </w:r>
      <w:r>
        <w:rPr>
          <w:rFonts w:ascii="Franklin Gothic Book" w:hAnsi="Franklin Gothic Book"/>
        </w:rPr>
        <w:t xml:space="preserve"> impact </w:t>
      </w:r>
      <w:r w:rsidRPr="000D636E">
        <w:rPr>
          <w:rFonts w:ascii="Franklin Gothic Book" w:hAnsi="Franklin Gothic Book"/>
        </w:rPr>
        <w:t>notwithstanding, it may dissipate more quickly than expected</w:t>
      </w:r>
      <w:r w:rsidR="001344EB">
        <w:rPr>
          <w:rFonts w:ascii="Franklin Gothic Book" w:hAnsi="Franklin Gothic Book"/>
        </w:rPr>
        <w:t xml:space="preserve"> – and t</w:t>
      </w:r>
      <w:r w:rsidR="001344EB" w:rsidRPr="000D636E">
        <w:rPr>
          <w:rFonts w:ascii="Franklin Gothic Book" w:hAnsi="Franklin Gothic Book"/>
        </w:rPr>
        <w:t>he county is likely to return to budg</w:t>
      </w:r>
      <w:r w:rsidR="003B4BA5">
        <w:rPr>
          <w:rFonts w:ascii="Franklin Gothic Book" w:hAnsi="Franklin Gothic Book"/>
        </w:rPr>
        <w:t>et-cutting mode as soon as 2026.</w:t>
      </w:r>
    </w:p>
    <w:p w:rsidR="009B77B8" w:rsidRDefault="009B77B8" w:rsidP="002D12CF">
      <w:pPr>
        <w:rPr>
          <w:rFonts w:ascii="Franklin Gothic Book" w:hAnsi="Franklin Gothic Book"/>
        </w:rPr>
      </w:pPr>
    </w:p>
    <w:p w:rsidR="000D636E" w:rsidRDefault="000D636E" w:rsidP="002D12CF">
      <w:pPr>
        <w:rPr>
          <w:rFonts w:ascii="Franklin Gothic Book" w:hAnsi="Franklin Gothic Book"/>
        </w:rPr>
      </w:pPr>
      <w:r w:rsidRPr="000D636E">
        <w:rPr>
          <w:rFonts w:ascii="Franklin Gothic Book" w:hAnsi="Franklin Gothic Book"/>
        </w:rPr>
        <w:t xml:space="preserve">Milwaukee County faces mounting public safety costs, a looming fiscal cliff for transit, and perhaps most concerning, a capital projects backlog with a price tag that may soon approach $1 billion. Future options to address these challenges remain limited, according to the Wisconsin Policy Forum’s annual brief on the Milwaukee County Executive’s 2025 recommended budget.  </w:t>
      </w:r>
    </w:p>
    <w:p w:rsidR="000D636E" w:rsidRDefault="000D636E" w:rsidP="002D12CF">
      <w:pPr>
        <w:rPr>
          <w:rFonts w:ascii="Franklin Gothic Book" w:hAnsi="Franklin Gothic Book"/>
        </w:rPr>
      </w:pPr>
    </w:p>
    <w:p w:rsidR="000D636E" w:rsidRDefault="000D636E" w:rsidP="002D12CF">
      <w:pPr>
        <w:rPr>
          <w:rFonts w:ascii="Franklin Gothic Book" w:hAnsi="Franklin Gothic Book"/>
        </w:rPr>
      </w:pPr>
      <w:r w:rsidRPr="000D636E">
        <w:rPr>
          <w:rFonts w:ascii="Franklin Gothic Book" w:hAnsi="Franklin Gothic Book"/>
        </w:rPr>
        <w:t>The Act 12 infusion of new dollars created a $51.1 million surplus for Milwaukee County’s 2024 budget, but an $11.5 million deficit re-emerged for 2025 and ha</w:t>
      </w:r>
      <w:r>
        <w:rPr>
          <w:rFonts w:ascii="Franklin Gothic Book" w:hAnsi="Franklin Gothic Book"/>
        </w:rPr>
        <w:t>s grown throughout the year. County E</w:t>
      </w:r>
      <w:r w:rsidRPr="000D636E">
        <w:rPr>
          <w:rFonts w:ascii="Franklin Gothic Book" w:hAnsi="Franklin Gothic Book"/>
        </w:rPr>
        <w:t>xecutive</w:t>
      </w:r>
      <w:r>
        <w:rPr>
          <w:rFonts w:ascii="Franklin Gothic Book" w:hAnsi="Franklin Gothic Book"/>
        </w:rPr>
        <w:t xml:space="preserve"> David Crowley</w:t>
      </w:r>
      <w:r w:rsidRPr="000D636E">
        <w:rPr>
          <w:rFonts w:ascii="Franklin Gothic Book" w:hAnsi="Franklin Gothic Book"/>
        </w:rPr>
        <w:t xml:space="preserve"> proposes to address the projected deficit by eliminating one-time expenditures made possible by federal pandemic relief aid, drawing $7.5 million from reserves, limiting departmental spending increases, and increasing out-of-pocket health care expenses for county employees. The following are keys to understanding Crowley’s budget plan: </w:t>
      </w:r>
    </w:p>
    <w:p w:rsidR="000D636E" w:rsidRDefault="000D636E" w:rsidP="002D12CF">
      <w:pPr>
        <w:rPr>
          <w:rFonts w:ascii="Franklin Gothic Book" w:hAnsi="Franklin Gothic Book"/>
        </w:rPr>
      </w:pPr>
    </w:p>
    <w:p w:rsidR="000D636E" w:rsidRDefault="000D636E" w:rsidP="002D12CF">
      <w:pPr>
        <w:rPr>
          <w:rFonts w:ascii="Franklin Gothic Book" w:hAnsi="Franklin Gothic Book"/>
        </w:rPr>
      </w:pPr>
      <w:r w:rsidRPr="000D636E">
        <w:rPr>
          <w:rFonts w:ascii="Franklin Gothic Book" w:hAnsi="Franklin Gothic Book"/>
          <w:b/>
        </w:rPr>
        <w:t>Public safety challenges chew up Act 12 benefits:</w:t>
      </w:r>
      <w:r w:rsidRPr="000D636E">
        <w:rPr>
          <w:rFonts w:ascii="Franklin Gothic Book" w:hAnsi="Franklin Gothic Book"/>
        </w:rPr>
        <w:t xml:space="preserve"> Juxtaposed against the influx of new revenue from Act 12 is Milwaukee County’s mounting fiscal pressure in the area of public safety. The 2025 budget plan would increase such spending by $10.8 million, or 7.1%. Much of this spending growth comes from the Milwaukee County Sheriff’s Office</w:t>
      </w:r>
      <w:r>
        <w:rPr>
          <w:rFonts w:ascii="Franklin Gothic Book" w:hAnsi="Franklin Gothic Book"/>
        </w:rPr>
        <w:t>. U</w:t>
      </w:r>
      <w:r w:rsidRPr="000D636E">
        <w:rPr>
          <w:rFonts w:ascii="Franklin Gothic Book" w:hAnsi="Franklin Gothic Book"/>
        </w:rPr>
        <w:t xml:space="preserve">nless new strategies are developed to control annual cost increases in public safety, the future impact of Act 12 in helping to resolve the county’s structural deficit may be eclipsed. </w:t>
      </w:r>
    </w:p>
    <w:p w:rsidR="000D636E" w:rsidRDefault="000D636E" w:rsidP="002D12CF">
      <w:pPr>
        <w:rPr>
          <w:rFonts w:ascii="Franklin Gothic Book" w:hAnsi="Franklin Gothic Book"/>
        </w:rPr>
      </w:pPr>
    </w:p>
    <w:p w:rsidR="000D636E" w:rsidRDefault="000D636E" w:rsidP="002D12CF">
      <w:pPr>
        <w:rPr>
          <w:rFonts w:ascii="Franklin Gothic Book" w:hAnsi="Franklin Gothic Book"/>
        </w:rPr>
      </w:pPr>
      <w:r w:rsidRPr="000D636E">
        <w:rPr>
          <w:rFonts w:ascii="Franklin Gothic Book" w:hAnsi="Franklin Gothic Book"/>
          <w:b/>
        </w:rPr>
        <w:t>BRT decision reflects challenges beyond transit:</w:t>
      </w:r>
      <w:r w:rsidRPr="000D636E">
        <w:rPr>
          <w:rFonts w:ascii="Franklin Gothic Book" w:hAnsi="Franklin Gothic Book"/>
        </w:rPr>
        <w:t xml:space="preserve"> For years it has been apparent that the Milwaukee County Transit System (MCTS) is approaching a fiscal cliff that would pose a serious threat to bus services, and potentially to other county services. This stems from </w:t>
      </w:r>
      <w:r>
        <w:rPr>
          <w:rFonts w:ascii="Franklin Gothic Book" w:hAnsi="Franklin Gothic Book"/>
        </w:rPr>
        <w:t xml:space="preserve">pandemic ridership declines and </w:t>
      </w:r>
      <w:r w:rsidRPr="000D636E">
        <w:rPr>
          <w:rFonts w:ascii="Franklin Gothic Book" w:hAnsi="Franklin Gothic Book"/>
        </w:rPr>
        <w:t>the impending exhaustion of a $191 million allotment of federal p</w:t>
      </w:r>
      <w:r>
        <w:rPr>
          <w:rFonts w:ascii="Franklin Gothic Book" w:hAnsi="Franklin Gothic Book"/>
        </w:rPr>
        <w:t>andemic relief aid. While recent actions</w:t>
      </w:r>
      <w:r w:rsidRPr="000D636E">
        <w:rPr>
          <w:rFonts w:ascii="Franklin Gothic Book" w:hAnsi="Franklin Gothic Book"/>
        </w:rPr>
        <w:t xml:space="preserve"> delayed a transit budget reckoning, it is likely that MCTS service cuts, an increase in the county’s vehicle registration fee, or both will be back on the table in the next two years. </w:t>
      </w:r>
    </w:p>
    <w:p w:rsidR="000D636E" w:rsidRDefault="000D636E" w:rsidP="002D12CF">
      <w:pPr>
        <w:rPr>
          <w:rFonts w:ascii="Franklin Gothic Book" w:hAnsi="Franklin Gothic Book"/>
        </w:rPr>
      </w:pPr>
    </w:p>
    <w:p w:rsidR="000D636E" w:rsidRDefault="000D636E" w:rsidP="002D12CF">
      <w:pPr>
        <w:rPr>
          <w:rFonts w:ascii="Franklin Gothic Book" w:hAnsi="Franklin Gothic Book"/>
        </w:rPr>
      </w:pPr>
      <w:r w:rsidRPr="000D636E">
        <w:rPr>
          <w:rFonts w:ascii="Franklin Gothic Book" w:hAnsi="Franklin Gothic Book"/>
          <w:b/>
        </w:rPr>
        <w:t>Pressure on the property tax builds:</w:t>
      </w:r>
      <w:r w:rsidRPr="000D636E">
        <w:rPr>
          <w:rFonts w:ascii="Franklin Gothic Book" w:hAnsi="Franklin Gothic Book"/>
        </w:rPr>
        <w:t xml:space="preserve"> This budget includes an $8.3 million (2.8%) increase in the property tax levy, the highest percentage increase in 15 years</w:t>
      </w:r>
      <w:r w:rsidR="003A4EB8">
        <w:rPr>
          <w:rFonts w:ascii="Franklin Gothic Book" w:hAnsi="Franklin Gothic Book"/>
        </w:rPr>
        <w:t xml:space="preserve">, though </w:t>
      </w:r>
      <w:r>
        <w:rPr>
          <w:rFonts w:ascii="Franklin Gothic Book" w:hAnsi="Franklin Gothic Book"/>
        </w:rPr>
        <w:t xml:space="preserve">it follows </w:t>
      </w:r>
      <w:r w:rsidRPr="000D636E">
        <w:rPr>
          <w:rFonts w:ascii="Franklin Gothic Book" w:hAnsi="Franklin Gothic Book"/>
        </w:rPr>
        <w:t xml:space="preserve">a $24 million (7.7%) levy decrease in 2024. In future years, a growing capital projects backlog – including commitments to huge projects such as a new county courthouse, new forensic science center, and new public museum -- threaten to produce a large increase in debt service obligations that could be borne by property taxpayers. </w:t>
      </w:r>
    </w:p>
    <w:p w:rsidR="000D636E" w:rsidRDefault="000D636E" w:rsidP="002D12CF">
      <w:pPr>
        <w:rPr>
          <w:rFonts w:ascii="Franklin Gothic Book" w:hAnsi="Franklin Gothic Book"/>
        </w:rPr>
      </w:pPr>
    </w:p>
    <w:p w:rsidR="00D22CEF" w:rsidRDefault="000D636E" w:rsidP="001377A2">
      <w:pPr>
        <w:rPr>
          <w:rFonts w:ascii="Franklin Gothic Book" w:hAnsi="Franklin Gothic Book"/>
        </w:rPr>
      </w:pPr>
      <w:r w:rsidRPr="001344EB">
        <w:rPr>
          <w:rFonts w:ascii="Franklin Gothic Book" w:hAnsi="Franklin Gothic Book"/>
          <w:b/>
        </w:rPr>
        <w:t>Structural challenges take a turn for the worse:</w:t>
      </w:r>
      <w:r w:rsidRPr="000D636E">
        <w:rPr>
          <w:rFonts w:ascii="Franklin Gothic Book" w:hAnsi="Franklin Gothic Book"/>
        </w:rPr>
        <w:t xml:space="preserve"> Since the adoption of Act 12,</w:t>
      </w:r>
      <w:r>
        <w:rPr>
          <w:rFonts w:ascii="Franklin Gothic Book" w:hAnsi="Franklin Gothic Book"/>
        </w:rPr>
        <w:t xml:space="preserve"> t</w:t>
      </w:r>
      <w:r w:rsidRPr="000D636E">
        <w:rPr>
          <w:rFonts w:ascii="Franklin Gothic Book" w:hAnsi="Franklin Gothic Book"/>
        </w:rPr>
        <w:t>he county’s annual structural challenge now is in the range of about $15 million per year – a significant reduction from the $30 to $50 million annual holes tha</w:t>
      </w:r>
      <w:r w:rsidR="009B77B8">
        <w:rPr>
          <w:rFonts w:ascii="Franklin Gothic Book" w:hAnsi="Franklin Gothic Book"/>
        </w:rPr>
        <w:t xml:space="preserve">t once were common. Yet continuing fiscal challenges </w:t>
      </w:r>
      <w:r w:rsidRPr="000D636E">
        <w:rPr>
          <w:rFonts w:ascii="Franklin Gothic Book" w:hAnsi="Franklin Gothic Book"/>
        </w:rPr>
        <w:t xml:space="preserve">may require county leaders to step up the search for budgetary savings, </w:t>
      </w:r>
      <w:r w:rsidR="009B77B8">
        <w:rPr>
          <w:rFonts w:ascii="Franklin Gothic Book" w:hAnsi="Franklin Gothic Book"/>
        </w:rPr>
        <w:t xml:space="preserve">potentially </w:t>
      </w:r>
      <w:r w:rsidRPr="000D636E">
        <w:rPr>
          <w:rFonts w:ascii="Franklin Gothic Book" w:hAnsi="Franklin Gothic Book"/>
        </w:rPr>
        <w:t>including measures such as liquidating physical assets, internal consolidation, or intergovernmental service sharing with th</w:t>
      </w:r>
      <w:r w:rsidR="009B77B8">
        <w:rPr>
          <w:rFonts w:ascii="Franklin Gothic Book" w:hAnsi="Franklin Gothic Book"/>
        </w:rPr>
        <w:t>e city or other jurisdictions.</w:t>
      </w:r>
      <w:bookmarkStart w:id="0" w:name="_GoBack"/>
      <w:bookmarkEnd w:id="0"/>
    </w:p>
    <w:p w:rsidR="00DC7980" w:rsidRPr="00B320FB" w:rsidRDefault="008F3470" w:rsidP="001377A2">
      <w:pPr>
        <w:rPr>
          <w:rFonts w:ascii="Franklin Gothic Book" w:hAnsi="Franklin Gothic Book" w:cstheme="minorHAnsi"/>
        </w:rPr>
      </w:pPr>
      <w:r w:rsidRPr="00B320FB">
        <w:rPr>
          <w:rFonts w:ascii="Franklin Gothic Book" w:hAnsi="Franklin Gothic Book" w:cstheme="minorHAnsi"/>
          <w:i/>
        </w:rPr>
        <w:lastRenderedPageBreak/>
        <w:t xml:space="preserve">This information is a service of the Wisconsin Policy Forum, the state’s leading resource for nonpartisan state and local government research and civic education. Learn more at </w:t>
      </w:r>
      <w:hyperlink r:id="rId6" w:history="1">
        <w:r w:rsidRPr="00B320FB">
          <w:rPr>
            <w:rStyle w:val="Hyperlink"/>
            <w:rFonts w:ascii="Franklin Gothic Book" w:hAnsi="Franklin Gothic Book" w:cstheme="minorHAnsi"/>
            <w:i/>
          </w:rPr>
          <w:t>wispolicyforum.org</w:t>
        </w:r>
      </w:hyperlink>
      <w:r w:rsidRPr="00B320FB">
        <w:rPr>
          <w:rFonts w:ascii="Franklin Gothic Book" w:hAnsi="Franklin Gothic Book" w:cstheme="minorHAnsi"/>
          <w:i/>
        </w:rPr>
        <w:t>.</w:t>
      </w:r>
    </w:p>
    <w:sectPr w:rsidR="00DC7980" w:rsidRPr="00B32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01"/>
    <w:rsid w:val="00005E80"/>
    <w:rsid w:val="00013F94"/>
    <w:rsid w:val="0002216E"/>
    <w:rsid w:val="000247CB"/>
    <w:rsid w:val="000329F7"/>
    <w:rsid w:val="000414C0"/>
    <w:rsid w:val="00061B52"/>
    <w:rsid w:val="00064B5B"/>
    <w:rsid w:val="00070D86"/>
    <w:rsid w:val="00074903"/>
    <w:rsid w:val="00083E0A"/>
    <w:rsid w:val="00087559"/>
    <w:rsid w:val="000A4483"/>
    <w:rsid w:val="000A4B9D"/>
    <w:rsid w:val="000B4297"/>
    <w:rsid w:val="000C0984"/>
    <w:rsid w:val="000D4388"/>
    <w:rsid w:val="000D636E"/>
    <w:rsid w:val="000E32CC"/>
    <w:rsid w:val="001012B6"/>
    <w:rsid w:val="00101B0D"/>
    <w:rsid w:val="00102D2E"/>
    <w:rsid w:val="001055C2"/>
    <w:rsid w:val="00107EEA"/>
    <w:rsid w:val="00122AC9"/>
    <w:rsid w:val="00123DCB"/>
    <w:rsid w:val="001344EB"/>
    <w:rsid w:val="001377A2"/>
    <w:rsid w:val="0014494F"/>
    <w:rsid w:val="00145525"/>
    <w:rsid w:val="001523D4"/>
    <w:rsid w:val="001545FB"/>
    <w:rsid w:val="00156BA1"/>
    <w:rsid w:val="00162DDA"/>
    <w:rsid w:val="00166B48"/>
    <w:rsid w:val="00167BCD"/>
    <w:rsid w:val="0017770E"/>
    <w:rsid w:val="00187F65"/>
    <w:rsid w:val="001912AF"/>
    <w:rsid w:val="001A0664"/>
    <w:rsid w:val="001C55AA"/>
    <w:rsid w:val="001D6EEF"/>
    <w:rsid w:val="001E6385"/>
    <w:rsid w:val="001F01A8"/>
    <w:rsid w:val="002069B0"/>
    <w:rsid w:val="00206ACA"/>
    <w:rsid w:val="00221E38"/>
    <w:rsid w:val="00232168"/>
    <w:rsid w:val="0023321A"/>
    <w:rsid w:val="00240EC6"/>
    <w:rsid w:val="00244754"/>
    <w:rsid w:val="002605FF"/>
    <w:rsid w:val="0026540D"/>
    <w:rsid w:val="0027173E"/>
    <w:rsid w:val="0027180A"/>
    <w:rsid w:val="00281879"/>
    <w:rsid w:val="002A226E"/>
    <w:rsid w:val="002A4214"/>
    <w:rsid w:val="002A56A5"/>
    <w:rsid w:val="002B6762"/>
    <w:rsid w:val="002C1945"/>
    <w:rsid w:val="002C3F62"/>
    <w:rsid w:val="002C7523"/>
    <w:rsid w:val="002D0730"/>
    <w:rsid w:val="002D12CF"/>
    <w:rsid w:val="002D71F1"/>
    <w:rsid w:val="002E7EB6"/>
    <w:rsid w:val="002F5126"/>
    <w:rsid w:val="002F572B"/>
    <w:rsid w:val="00305A9E"/>
    <w:rsid w:val="00332252"/>
    <w:rsid w:val="00345455"/>
    <w:rsid w:val="00350FE8"/>
    <w:rsid w:val="00365C6D"/>
    <w:rsid w:val="00381099"/>
    <w:rsid w:val="00391601"/>
    <w:rsid w:val="003A4EB8"/>
    <w:rsid w:val="003B1887"/>
    <w:rsid w:val="003B2A5B"/>
    <w:rsid w:val="003B437F"/>
    <w:rsid w:val="003B4BA5"/>
    <w:rsid w:val="003C0859"/>
    <w:rsid w:val="003C344A"/>
    <w:rsid w:val="003C49DB"/>
    <w:rsid w:val="003C65A1"/>
    <w:rsid w:val="003D0723"/>
    <w:rsid w:val="003D179C"/>
    <w:rsid w:val="003D7D99"/>
    <w:rsid w:val="003F0910"/>
    <w:rsid w:val="003F3617"/>
    <w:rsid w:val="003F3EE4"/>
    <w:rsid w:val="003F44E6"/>
    <w:rsid w:val="003F6091"/>
    <w:rsid w:val="00411052"/>
    <w:rsid w:val="004130A0"/>
    <w:rsid w:val="00425AE6"/>
    <w:rsid w:val="00427332"/>
    <w:rsid w:val="00431DCB"/>
    <w:rsid w:val="004507C3"/>
    <w:rsid w:val="00451C3A"/>
    <w:rsid w:val="004559AF"/>
    <w:rsid w:val="00460A01"/>
    <w:rsid w:val="00461831"/>
    <w:rsid w:val="004640AA"/>
    <w:rsid w:val="00465DE7"/>
    <w:rsid w:val="00470986"/>
    <w:rsid w:val="00470B8C"/>
    <w:rsid w:val="0047373C"/>
    <w:rsid w:val="0047482A"/>
    <w:rsid w:val="00485BAE"/>
    <w:rsid w:val="004A2A78"/>
    <w:rsid w:val="004A4A69"/>
    <w:rsid w:val="004A5662"/>
    <w:rsid w:val="004A5CA4"/>
    <w:rsid w:val="004B288F"/>
    <w:rsid w:val="004B4A48"/>
    <w:rsid w:val="004B57CC"/>
    <w:rsid w:val="004B5C08"/>
    <w:rsid w:val="004C1CD1"/>
    <w:rsid w:val="004C449F"/>
    <w:rsid w:val="004C6C46"/>
    <w:rsid w:val="004D289B"/>
    <w:rsid w:val="004D75D1"/>
    <w:rsid w:val="005030F8"/>
    <w:rsid w:val="00511CA0"/>
    <w:rsid w:val="00532779"/>
    <w:rsid w:val="00537635"/>
    <w:rsid w:val="00551539"/>
    <w:rsid w:val="005515DC"/>
    <w:rsid w:val="00554A6F"/>
    <w:rsid w:val="005623D1"/>
    <w:rsid w:val="00565154"/>
    <w:rsid w:val="00566AD5"/>
    <w:rsid w:val="00567037"/>
    <w:rsid w:val="00591BE1"/>
    <w:rsid w:val="00593E9F"/>
    <w:rsid w:val="005A0BFB"/>
    <w:rsid w:val="005B22BC"/>
    <w:rsid w:val="005B2CFE"/>
    <w:rsid w:val="005C2384"/>
    <w:rsid w:val="005D452E"/>
    <w:rsid w:val="005D75F3"/>
    <w:rsid w:val="005F6D02"/>
    <w:rsid w:val="005F6F74"/>
    <w:rsid w:val="00605015"/>
    <w:rsid w:val="00611E3B"/>
    <w:rsid w:val="006417C4"/>
    <w:rsid w:val="00644A1B"/>
    <w:rsid w:val="00646131"/>
    <w:rsid w:val="00657D2C"/>
    <w:rsid w:val="0066179E"/>
    <w:rsid w:val="006636CD"/>
    <w:rsid w:val="0066533B"/>
    <w:rsid w:val="00677CBC"/>
    <w:rsid w:val="006818DD"/>
    <w:rsid w:val="00681F3A"/>
    <w:rsid w:val="00682C5A"/>
    <w:rsid w:val="006847F8"/>
    <w:rsid w:val="00685413"/>
    <w:rsid w:val="00691F63"/>
    <w:rsid w:val="006A01F6"/>
    <w:rsid w:val="006A2168"/>
    <w:rsid w:val="006A5D7D"/>
    <w:rsid w:val="006B4297"/>
    <w:rsid w:val="006D1185"/>
    <w:rsid w:val="006F1608"/>
    <w:rsid w:val="006F1D8E"/>
    <w:rsid w:val="006F2353"/>
    <w:rsid w:val="006F6F46"/>
    <w:rsid w:val="0070159E"/>
    <w:rsid w:val="0070651F"/>
    <w:rsid w:val="007138BA"/>
    <w:rsid w:val="007378AC"/>
    <w:rsid w:val="007549E5"/>
    <w:rsid w:val="00761147"/>
    <w:rsid w:val="00764C11"/>
    <w:rsid w:val="00777FE1"/>
    <w:rsid w:val="00781281"/>
    <w:rsid w:val="00786575"/>
    <w:rsid w:val="00787347"/>
    <w:rsid w:val="007A01E4"/>
    <w:rsid w:val="007A31FF"/>
    <w:rsid w:val="007B0B42"/>
    <w:rsid w:val="007B1053"/>
    <w:rsid w:val="007B1B26"/>
    <w:rsid w:val="007B5B8A"/>
    <w:rsid w:val="007B71C8"/>
    <w:rsid w:val="007E0874"/>
    <w:rsid w:val="007E6EA9"/>
    <w:rsid w:val="007F13EB"/>
    <w:rsid w:val="007F3A2A"/>
    <w:rsid w:val="007F4204"/>
    <w:rsid w:val="007F5792"/>
    <w:rsid w:val="00817409"/>
    <w:rsid w:val="0082595F"/>
    <w:rsid w:val="00832CBF"/>
    <w:rsid w:val="00843D70"/>
    <w:rsid w:val="00856D98"/>
    <w:rsid w:val="00867583"/>
    <w:rsid w:val="00867607"/>
    <w:rsid w:val="00891DF8"/>
    <w:rsid w:val="008935DF"/>
    <w:rsid w:val="008A1141"/>
    <w:rsid w:val="008A3A64"/>
    <w:rsid w:val="008A4344"/>
    <w:rsid w:val="008B36B5"/>
    <w:rsid w:val="008C569F"/>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5B4E"/>
    <w:rsid w:val="009B77B8"/>
    <w:rsid w:val="009C4A8E"/>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6766D"/>
    <w:rsid w:val="00A84F0F"/>
    <w:rsid w:val="00A97F66"/>
    <w:rsid w:val="00AA2381"/>
    <w:rsid w:val="00AA325E"/>
    <w:rsid w:val="00AB6CF2"/>
    <w:rsid w:val="00AC751B"/>
    <w:rsid w:val="00AE196F"/>
    <w:rsid w:val="00B17AE6"/>
    <w:rsid w:val="00B21CC2"/>
    <w:rsid w:val="00B320FB"/>
    <w:rsid w:val="00B33642"/>
    <w:rsid w:val="00B3409E"/>
    <w:rsid w:val="00B42DBC"/>
    <w:rsid w:val="00B53AC1"/>
    <w:rsid w:val="00B63BB9"/>
    <w:rsid w:val="00B74F81"/>
    <w:rsid w:val="00B8771C"/>
    <w:rsid w:val="00B87A6F"/>
    <w:rsid w:val="00B92667"/>
    <w:rsid w:val="00BB32E8"/>
    <w:rsid w:val="00BB6E2D"/>
    <w:rsid w:val="00BB7076"/>
    <w:rsid w:val="00BB7140"/>
    <w:rsid w:val="00BC45FC"/>
    <w:rsid w:val="00BD5217"/>
    <w:rsid w:val="00BF0E62"/>
    <w:rsid w:val="00BF5EFE"/>
    <w:rsid w:val="00C03D26"/>
    <w:rsid w:val="00C14A4F"/>
    <w:rsid w:val="00C37692"/>
    <w:rsid w:val="00C466D2"/>
    <w:rsid w:val="00C5597D"/>
    <w:rsid w:val="00C70E0D"/>
    <w:rsid w:val="00C778DB"/>
    <w:rsid w:val="00C83409"/>
    <w:rsid w:val="00C854D7"/>
    <w:rsid w:val="00C9292D"/>
    <w:rsid w:val="00C95E07"/>
    <w:rsid w:val="00C97452"/>
    <w:rsid w:val="00CB3F0A"/>
    <w:rsid w:val="00CC49F6"/>
    <w:rsid w:val="00CC4AAF"/>
    <w:rsid w:val="00CD6413"/>
    <w:rsid w:val="00CE7A7E"/>
    <w:rsid w:val="00CF3E7F"/>
    <w:rsid w:val="00CF519E"/>
    <w:rsid w:val="00D0043E"/>
    <w:rsid w:val="00D05631"/>
    <w:rsid w:val="00D13151"/>
    <w:rsid w:val="00D15DF5"/>
    <w:rsid w:val="00D162BF"/>
    <w:rsid w:val="00D22CEF"/>
    <w:rsid w:val="00D25AD1"/>
    <w:rsid w:val="00D26B3B"/>
    <w:rsid w:val="00D27CC8"/>
    <w:rsid w:val="00D34C18"/>
    <w:rsid w:val="00D430A1"/>
    <w:rsid w:val="00D44A69"/>
    <w:rsid w:val="00D53926"/>
    <w:rsid w:val="00D7698D"/>
    <w:rsid w:val="00D801D5"/>
    <w:rsid w:val="00D82471"/>
    <w:rsid w:val="00D87A0E"/>
    <w:rsid w:val="00DA0F37"/>
    <w:rsid w:val="00DC03B6"/>
    <w:rsid w:val="00DC15AB"/>
    <w:rsid w:val="00DC72F3"/>
    <w:rsid w:val="00DC7980"/>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D2A30"/>
    <w:rsid w:val="00ED3210"/>
    <w:rsid w:val="00ED4179"/>
    <w:rsid w:val="00EE5C00"/>
    <w:rsid w:val="00EF40F9"/>
    <w:rsid w:val="00F0780D"/>
    <w:rsid w:val="00F07CCC"/>
    <w:rsid w:val="00F128DC"/>
    <w:rsid w:val="00F12D9D"/>
    <w:rsid w:val="00F24151"/>
    <w:rsid w:val="00F3214E"/>
    <w:rsid w:val="00F379A0"/>
    <w:rsid w:val="00F54A40"/>
    <w:rsid w:val="00F7221D"/>
    <w:rsid w:val="00F7241F"/>
    <w:rsid w:val="00F949C5"/>
    <w:rsid w:val="00FA17BC"/>
    <w:rsid w:val="00FA5EC6"/>
    <w:rsid w:val="00FC3CFD"/>
    <w:rsid w:val="00FD0E0E"/>
    <w:rsid w:val="00FD31AC"/>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4DCD"/>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DF79-1343-4967-B3D2-23304416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9</cp:revision>
  <dcterms:created xsi:type="dcterms:W3CDTF">2024-10-16T18:51:00Z</dcterms:created>
  <dcterms:modified xsi:type="dcterms:W3CDTF">2024-10-16T19:14:00Z</dcterms:modified>
</cp:coreProperties>
</file>