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D47A1E" w:rsidRDefault="004658A4">
      <w:pPr>
        <w:rPr>
          <w:rFonts w:cstheme="minorHAnsi"/>
          <w:b/>
          <w:bCs/>
          <w:sz w:val="22"/>
          <w:szCs w:val="22"/>
        </w:rPr>
      </w:pPr>
    </w:p>
    <w:p w14:paraId="63FC8FFD" w14:textId="62D4EA94" w:rsidR="00A91DFE" w:rsidRPr="00D47A1E" w:rsidRDefault="004A4849" w:rsidP="009B0B16">
      <w:pPr>
        <w:rPr>
          <w:rFonts w:ascii="Calibri" w:hAnsi="Calibri" w:cs="Calibri"/>
          <w:b/>
          <w:bCs/>
          <w:color w:val="212121"/>
        </w:rPr>
      </w:pPr>
      <w:r w:rsidRPr="00D47A1E">
        <w:rPr>
          <w:rFonts w:ascii="Calibri" w:hAnsi="Calibri" w:cs="Calibri"/>
          <w:b/>
          <w:bCs/>
          <w:color w:val="212121"/>
        </w:rPr>
        <w:t xml:space="preserve">Public school advocates </w:t>
      </w:r>
      <w:r w:rsidR="003A2145" w:rsidRPr="00D47A1E">
        <w:rPr>
          <w:rFonts w:ascii="Calibri" w:hAnsi="Calibri" w:cs="Calibri"/>
          <w:b/>
          <w:bCs/>
          <w:color w:val="212121"/>
        </w:rPr>
        <w:t>want</w:t>
      </w:r>
      <w:r w:rsidRPr="00D47A1E">
        <w:rPr>
          <w:rFonts w:ascii="Calibri" w:hAnsi="Calibri" w:cs="Calibri"/>
          <w:b/>
          <w:bCs/>
          <w:color w:val="212121"/>
        </w:rPr>
        <w:t xml:space="preserve"> high court to limit taxpayer money to private </w:t>
      </w:r>
      <w:proofErr w:type="gramStart"/>
      <w:r w:rsidRPr="00D47A1E">
        <w:rPr>
          <w:rFonts w:ascii="Calibri" w:hAnsi="Calibri" w:cs="Calibri"/>
          <w:b/>
          <w:bCs/>
          <w:color w:val="212121"/>
        </w:rPr>
        <w:t>schools</w:t>
      </w:r>
      <w:proofErr w:type="gramEnd"/>
    </w:p>
    <w:p w14:paraId="432C4B21" w14:textId="77777777" w:rsidR="009C1B1A" w:rsidRPr="00D47A1E" w:rsidRDefault="009C1B1A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30A08883" w14:textId="007143B2" w:rsidR="00D47A1E" w:rsidRPr="00D47A1E" w:rsidRDefault="00D25D7C" w:rsidP="004A4849">
      <w:pPr>
        <w:rPr>
          <w:rFonts w:ascii="Calibri" w:hAnsi="Calibri" w:cs="Calibri"/>
          <w:color w:val="212121"/>
          <w:sz w:val="22"/>
          <w:szCs w:val="22"/>
        </w:rPr>
      </w:pPr>
      <w:r w:rsidRPr="00D47A1E">
        <w:rPr>
          <w:rFonts w:ascii="Calibri" w:hAnsi="Calibri" w:cs="Calibri"/>
          <w:color w:val="212121"/>
          <w:sz w:val="22"/>
          <w:szCs w:val="22"/>
        </w:rPr>
        <w:t>By</w:t>
      </w:r>
      <w:r w:rsidRPr="00D47A1E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 w:rsidRPr="00D47A1E">
        <w:rPr>
          <w:rFonts w:ascii="Calibri" w:hAnsi="Calibri" w:cs="Calibri"/>
          <w:color w:val="212121"/>
          <w:sz w:val="22"/>
          <w:szCs w:val="22"/>
        </w:rPr>
        <w:t>WisPolitics.com</w:t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Lawsuits and court decisions appear to be an increasing option for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those upset with state policy and the big GOP majorities in the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Legislature.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The efforts to bypass the GOP-run Legislature and go to the newly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liberal state Supreme Court is one big example.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Another recent example is a lawsuit from the Minocqua Brewing Company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and its owner Kirk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Bangstad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challenging the state's private school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voucher programs and Independent Charter School Program.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Bangstad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>, in a fundraising email, calls the lawsuit "critical to the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health of our state’s system of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ducation, which means it’s also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imminently important to Wisconsin’s kids.''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 xml:space="preserve">Added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Bangstad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>: ``In layman’s terms, our wildly-gerrymandered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Republican legislature, through this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revenue limit' legislation, has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been forcing local school districts to constantly beg taxpayers for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money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instead of doing what they are required to do by our state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constitution…which is to ensure that every Wisconsin kid can attend an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adequately funded public school.''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 xml:space="preserve">Attorney Brian Potts, for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Bangstad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>, argued the revenue limits and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funding for the programs violate the state's Public Purpose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Requirement and Uniform Taxation Clause.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"This parasitic funding system is pushing public school districts into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an ever worsening financial crisis, which is leading to what can only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be described as a funding death spiral for public education," Potts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said.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Private school vouchers are currently funded in part through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reductions in state aid that would have otherwise gone to public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schools. Public schools then have the option to impose property taxes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to help make up the difference. The Milwaukee Parental Choice Program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is in the process of transitioning to funding exclusively through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general purpose revenue.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 xml:space="preserve">Fred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Melms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>, another attorney on the case, said the current school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financing system "not only fails to equitably distribute resources but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also threatens the financial stability of public education in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Wisconsin."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"It's imperative to address these issues to ensure that all students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receive the support they need for a brighter future,"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Melms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said.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State Superintendent Jill Underly in a statement appeared to support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the lawsuit, noting public education is a right under the state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constitution.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"And as a right guaranteed to our children, and as an opportunity for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our state to put our money where our priorities should be, Wisconsin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needs to fulfill its responsibility to effectively, equitably, and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robustly fund our public education system. I welcome any opportunity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to move Wisconsin in that direction," Underly said.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lastRenderedPageBreak/>
        <w:t>But School Choice Wisconsin and the Wisconsin Institute for Law &amp;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Liberty are blasting the Minocqua Brewing Company Super PAC lawsuit.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WILL announced it will seek to intervene in the lawsuit.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 xml:space="preserve">WILL President and General Counsel Rick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Esenberg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knocked the lawsuit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as an effort by "Far-left interest groups" to take options away from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low and middle-income students.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"If successful, their efforts would destroy a popular program that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serves thousands of Wisconsin families. The arguments that it makes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would call into question Wisconsin's entire education system, throwing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us all into chaos,"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Esenberg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said. "Their 'facts' in their complaint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are incomplete, misleading, misinformed, and their legal arguments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border on nonsense."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School Choice Wisconsin President Nic Kelly also slammed the legal challenge.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"Efforts to kill school choice will hurt thousands of low-income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families throughout the state. In Milwaukee and Racine, where four out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of five choice students are Black and Hispanic, this would fall most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heavily on families desperate for educational options," Kelly said.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The lawsuit, filed on behalf of a group of seven Wisconsinites, argues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the way the programs are funded violates the state constitution by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requiring local school districts to spend "significantly more" per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pupil on private schools than public schools. It also targets school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district revenue limits, which cap how much money a school district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can levy from local taxpayers to cover aid reductions.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The lawsuit also targets independent charter schools, but would not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apply to charter schools affiliated with public school districts,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according to Potts and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Melms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>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The plaintiffs charged the Legislature with attacking public schools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"under the guise of providing school choice."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"But instead of creating a choice, the Legislature has created a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cancer. And that cancer is growing rapidly, decimating Wisconsin's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public schools," they wrote.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The Wisconsin Public Education Network praised the lawsuit, arguing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choice schools take away resources from public schools.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 xml:space="preserve">WPEN Executive Director Heather DuBois </w:t>
      </w:r>
      <w:proofErr w:type="spellStart"/>
      <w:r w:rsidR="004A4849" w:rsidRPr="00D47A1E">
        <w:rPr>
          <w:rFonts w:ascii="Calibri" w:hAnsi="Calibri" w:cs="Calibri"/>
          <w:color w:val="212121"/>
          <w:sz w:val="22"/>
          <w:szCs w:val="22"/>
        </w:rPr>
        <w:t>Bourenane</w:t>
      </w:r>
      <w:proofErr w:type="spellEnd"/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said it's long past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time for the state to meet its constitutional obligations to public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school students.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"Children in public schools have paid the price for decades as the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resources they so desperately need have been siphoned off to an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unaccountable private system that plays by its own set of rules," she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said.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Julie Underwood, lead plaintiff in the suit and a former dean of the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UW-Madison School of Education, echoed the remarks.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br/>
        <w:t>"The voucher and independent schools have been draining resources from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Wisconsin's public schools for too long," Underwood said. "We believe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>these programs are unconstitutional and hope the Wisconsin Supreme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4849" w:rsidRPr="00D47A1E">
        <w:rPr>
          <w:rFonts w:ascii="Calibri" w:hAnsi="Calibri" w:cs="Calibri"/>
          <w:color w:val="212121"/>
          <w:sz w:val="22"/>
          <w:szCs w:val="22"/>
        </w:rPr>
        <w:t xml:space="preserve">Court ends them </w:t>
      </w:r>
      <w:r w:rsidR="00D47A1E" w:rsidRPr="00D47A1E">
        <w:rPr>
          <w:rFonts w:ascii="Calibri" w:hAnsi="Calibri" w:cs="Calibri"/>
          <w:color w:val="212121"/>
          <w:sz w:val="22"/>
          <w:szCs w:val="22"/>
        </w:rPr>
        <w:t>now.”</w:t>
      </w:r>
    </w:p>
    <w:p w14:paraId="712355B3" w14:textId="77777777" w:rsidR="00D47A1E" w:rsidRPr="00D47A1E" w:rsidRDefault="00D47A1E" w:rsidP="004A4849">
      <w:pPr>
        <w:rPr>
          <w:rFonts w:ascii="Calibri" w:hAnsi="Calibri" w:cs="Calibri"/>
          <w:color w:val="212121"/>
          <w:sz w:val="22"/>
          <w:szCs w:val="22"/>
        </w:rPr>
      </w:pPr>
    </w:p>
    <w:p w14:paraId="6955253E" w14:textId="19A1D98A" w:rsidR="00C72A24" w:rsidRPr="00D47A1E" w:rsidRDefault="00D47A1E" w:rsidP="004A4849">
      <w:pPr>
        <w:rPr>
          <w:sz w:val="22"/>
          <w:szCs w:val="22"/>
        </w:rPr>
      </w:pPr>
      <w:r w:rsidRPr="00D47A1E">
        <w:rPr>
          <w:rFonts w:ascii="Calibri" w:hAnsi="Calibri" w:cs="Calibri"/>
          <w:color w:val="212121"/>
          <w:sz w:val="22"/>
          <w:szCs w:val="22"/>
        </w:rPr>
        <w:lastRenderedPageBreak/>
        <w:t>For</w:t>
      </w:r>
      <w:r w:rsidR="009B0B16" w:rsidRPr="00D47A1E">
        <w:rPr>
          <w:rFonts w:ascii="Calibri" w:hAnsi="Calibri" w:cs="Calibri"/>
          <w:color w:val="212121"/>
          <w:sz w:val="22"/>
          <w:szCs w:val="22"/>
        </w:rPr>
        <w:t xml:space="preserve"> more go to</w:t>
      </w:r>
      <w:r w:rsidR="009B0B16" w:rsidRPr="00D47A1E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 w:rsidR="009B0B16" w:rsidRPr="00D47A1E"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275C57DF" w:rsidR="009B0B16" w:rsidRDefault="009B0B16" w:rsidP="009B0B16">
      <w:pPr>
        <w:pStyle w:val="NormalWeb"/>
      </w:pPr>
      <w:r>
        <w:rPr>
          <w:rStyle w:val="s1"/>
          <w:i/>
          <w:iCs/>
        </w:rPr>
        <w:t xml:space="preserve">The Capitol Report is written by editorial staff at WisPolitics.com, a nonpartisan, Madison-based news service that specializes in coverage of government and </w:t>
      </w:r>
      <w:r w:rsidR="002B171A">
        <w:rPr>
          <w:rStyle w:val="s1"/>
          <w:i/>
          <w:iCs/>
        </w:rPr>
        <w:t>politics and</w:t>
      </w:r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1D49F9"/>
    <w:rsid w:val="00262DA1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3513F"/>
    <w:rsid w:val="00C42A93"/>
    <w:rsid w:val="00C444DC"/>
    <w:rsid w:val="00C60855"/>
    <w:rsid w:val="00C72A24"/>
    <w:rsid w:val="00CA3AFD"/>
    <w:rsid w:val="00CB44EB"/>
    <w:rsid w:val="00D17019"/>
    <w:rsid w:val="00D17984"/>
    <w:rsid w:val="00D25D7C"/>
    <w:rsid w:val="00D32A9D"/>
    <w:rsid w:val="00D47A1E"/>
    <w:rsid w:val="00D5412C"/>
    <w:rsid w:val="00D67586"/>
    <w:rsid w:val="00DA47E5"/>
    <w:rsid w:val="00DD5E1C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58</cp:revision>
  <dcterms:created xsi:type="dcterms:W3CDTF">2022-11-18T19:22:00Z</dcterms:created>
  <dcterms:modified xsi:type="dcterms:W3CDTF">2023-10-17T15:03:00Z</dcterms:modified>
</cp:coreProperties>
</file>