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0731" w:rsidRDefault="00945294" w:rsidP="00E00F7B">
      <w:pPr>
        <w:rPr>
          <w:rFonts w:ascii="Franklin Gothic Book" w:hAnsi="Franklin Gothic Book" w:cstheme="minorHAnsi"/>
          <w:b/>
        </w:rPr>
      </w:pPr>
      <w:r w:rsidRPr="009A2BDC">
        <w:rPr>
          <w:rFonts w:ascii="Franklin Gothic Book" w:hAnsi="Franklin Gothic Book" w:cstheme="minorHAnsi"/>
          <w:b/>
        </w:rPr>
        <w:t>Fiscal Facts:</w:t>
      </w:r>
      <w:r w:rsidR="00A93F07" w:rsidRPr="009A2BDC">
        <w:rPr>
          <w:rFonts w:ascii="Franklin Gothic Book" w:hAnsi="Franklin Gothic Book" w:cstheme="minorHAnsi"/>
          <w:b/>
        </w:rPr>
        <w:t xml:space="preserve"> </w:t>
      </w:r>
      <w:r w:rsidR="00574453" w:rsidRPr="00574453">
        <w:rPr>
          <w:rFonts w:ascii="Franklin Gothic Book" w:hAnsi="Franklin Gothic Book" w:cstheme="minorHAnsi"/>
          <w:b/>
        </w:rPr>
        <w:t>Lower-Wage Jobs Hit Hardest by Pandemic</w:t>
      </w:r>
    </w:p>
    <w:p w:rsidR="00732306" w:rsidRDefault="00732306" w:rsidP="00E00F7B">
      <w:pPr>
        <w:rPr>
          <w:rFonts w:ascii="Franklin Gothic Book" w:hAnsi="Franklin Gothic Book" w:cstheme="minorHAnsi"/>
          <w:b/>
        </w:rPr>
      </w:pPr>
    </w:p>
    <w:p w:rsidR="00732306" w:rsidRPr="00732306" w:rsidRDefault="00732306" w:rsidP="00732306">
      <w:pPr>
        <w:rPr>
          <w:rFonts w:ascii="Franklin Gothic Book" w:hAnsi="Franklin Gothic Book" w:cstheme="minorHAnsi"/>
        </w:rPr>
      </w:pPr>
      <w:r>
        <w:rPr>
          <w:rFonts w:ascii="Franklin Gothic Book" w:hAnsi="Franklin Gothic Book" w:cstheme="minorHAnsi"/>
        </w:rPr>
        <w:t xml:space="preserve">During </w:t>
      </w:r>
      <w:r w:rsidRPr="00732306">
        <w:rPr>
          <w:rFonts w:ascii="Franklin Gothic Book" w:hAnsi="Franklin Gothic Book" w:cstheme="minorHAnsi"/>
        </w:rPr>
        <w:t xml:space="preserve">the </w:t>
      </w:r>
      <w:r>
        <w:rPr>
          <w:rFonts w:ascii="Franklin Gothic Book" w:hAnsi="Franklin Gothic Book" w:cstheme="minorHAnsi"/>
        </w:rPr>
        <w:t xml:space="preserve">COVID-19 </w:t>
      </w:r>
      <w:r w:rsidRPr="00732306">
        <w:rPr>
          <w:rFonts w:ascii="Franklin Gothic Book" w:hAnsi="Franklin Gothic Book" w:cstheme="minorHAnsi"/>
        </w:rPr>
        <w:t xml:space="preserve">pandemic and its immediate aftermath, employment in higher-paying occupations in Wisconsin stayed largely stable, while thousands of lower-paying jobs were lost. </w:t>
      </w:r>
    </w:p>
    <w:p w:rsidR="00732306" w:rsidRDefault="00732306" w:rsidP="00E00F7B">
      <w:pPr>
        <w:rPr>
          <w:rFonts w:ascii="Franklin Gothic Book" w:hAnsi="Franklin Gothic Book" w:cstheme="minorHAnsi"/>
          <w:b/>
        </w:rPr>
      </w:pPr>
    </w:p>
    <w:p w:rsidR="00732306" w:rsidRDefault="00732306" w:rsidP="00732306">
      <w:pPr>
        <w:rPr>
          <w:rFonts w:ascii="Franklin Gothic Book" w:hAnsi="Franklin Gothic Book" w:cstheme="minorHAnsi"/>
        </w:rPr>
      </w:pPr>
      <w:r w:rsidRPr="00732306">
        <w:rPr>
          <w:rFonts w:ascii="Franklin Gothic Book" w:hAnsi="Franklin Gothic Book" w:cstheme="minorHAnsi"/>
        </w:rPr>
        <w:t>May 2022 estimates show 52,220 fewer nonfarm jobs in Wisconsin than May 2019, a 1.8% decline</w:t>
      </w:r>
      <w:r w:rsidR="00671882">
        <w:rPr>
          <w:rFonts w:ascii="Franklin Gothic Book" w:hAnsi="Franklin Gothic Book" w:cstheme="minorHAnsi"/>
        </w:rPr>
        <w:t xml:space="preserve">, according to </w:t>
      </w:r>
      <w:r w:rsidR="00671882" w:rsidRPr="00671882">
        <w:rPr>
          <w:rFonts w:ascii="Franklin Gothic Book" w:hAnsi="Franklin Gothic Book" w:cstheme="minorHAnsi"/>
        </w:rPr>
        <w:t>federal Occupational Employment and Wage Statistics</w:t>
      </w:r>
      <w:r w:rsidR="00671882">
        <w:rPr>
          <w:rFonts w:ascii="Franklin Gothic Book" w:hAnsi="Franklin Gothic Book" w:cstheme="minorHAnsi"/>
        </w:rPr>
        <w:t>,</w:t>
      </w:r>
      <w:r w:rsidR="00671882" w:rsidRPr="00671882">
        <w:rPr>
          <w:rFonts w:ascii="Franklin Gothic Book" w:hAnsi="Franklin Gothic Book" w:cstheme="minorHAnsi"/>
        </w:rPr>
        <w:t xml:space="preserve"> collected by the U.S. Bureau of Labor Statistics</w:t>
      </w:r>
      <w:r w:rsidR="00671882">
        <w:rPr>
          <w:rFonts w:ascii="Franklin Gothic Book" w:hAnsi="Franklin Gothic Book" w:cstheme="minorHAnsi"/>
        </w:rPr>
        <w:t>.</w:t>
      </w:r>
    </w:p>
    <w:p w:rsidR="00671882" w:rsidRPr="00732306" w:rsidRDefault="00671882" w:rsidP="00732306">
      <w:pPr>
        <w:rPr>
          <w:rFonts w:ascii="Franklin Gothic Book" w:hAnsi="Franklin Gothic Book" w:cstheme="minorHAnsi"/>
        </w:rPr>
      </w:pPr>
    </w:p>
    <w:p w:rsidR="00732306" w:rsidRPr="00732306" w:rsidRDefault="00732306" w:rsidP="00732306">
      <w:pPr>
        <w:rPr>
          <w:rFonts w:ascii="Franklin Gothic Book" w:hAnsi="Franklin Gothic Book" w:cstheme="minorHAnsi"/>
        </w:rPr>
      </w:pPr>
      <w:r w:rsidRPr="00732306">
        <w:rPr>
          <w:rFonts w:ascii="Franklin Gothic Book" w:hAnsi="Franklin Gothic Book" w:cstheme="minorHAnsi"/>
        </w:rPr>
        <w:t>Employment grew by a combined 3,480 jobs in 13 occupational groups paying abo</w:t>
      </w:r>
      <w:r>
        <w:rPr>
          <w:rFonts w:ascii="Franklin Gothic Book" w:hAnsi="Franklin Gothic Book" w:cstheme="minorHAnsi"/>
        </w:rPr>
        <w:t>ve the statewide median wage,</w:t>
      </w:r>
      <w:r w:rsidRPr="00732306">
        <w:rPr>
          <w:rFonts w:ascii="Franklin Gothic Book" w:hAnsi="Franklin Gothic Book" w:cstheme="minorHAnsi"/>
        </w:rPr>
        <w:t xml:space="preserve"> while declining by a combined 55,700 in the </w:t>
      </w:r>
      <w:r w:rsidR="005F245F">
        <w:rPr>
          <w:rFonts w:ascii="Franklin Gothic Book" w:hAnsi="Franklin Gothic Book" w:cstheme="minorHAnsi"/>
        </w:rPr>
        <w:t xml:space="preserve">nine </w:t>
      </w:r>
      <w:r w:rsidRPr="00732306">
        <w:rPr>
          <w:rFonts w:ascii="Franklin Gothic Book" w:hAnsi="Franklin Gothic Book" w:cstheme="minorHAnsi"/>
        </w:rPr>
        <w:t>groups that pay lower wages.</w:t>
      </w:r>
    </w:p>
    <w:p w:rsidR="004E5E61" w:rsidRPr="00732306" w:rsidRDefault="004E5E61" w:rsidP="004E5E61">
      <w:pPr>
        <w:rPr>
          <w:rFonts w:ascii="Franklin Gothic Book" w:hAnsi="Franklin Gothic Book" w:cstheme="minorHAnsi"/>
        </w:rPr>
      </w:pPr>
    </w:p>
    <w:p w:rsidR="00732306" w:rsidRDefault="004E5E61" w:rsidP="00732306">
      <w:pPr>
        <w:rPr>
          <w:rFonts w:ascii="Franklin Gothic Book" w:hAnsi="Franklin Gothic Book" w:cstheme="minorHAnsi"/>
        </w:rPr>
      </w:pPr>
      <w:r w:rsidRPr="00732306">
        <w:rPr>
          <w:rFonts w:ascii="Franklin Gothic Book" w:hAnsi="Franklin Gothic Book" w:cstheme="minorHAnsi"/>
        </w:rPr>
        <w:t>Meanwhile, wages rose faster in lower-paying occupations, as employers sought to retain and attract employees amid a reshuffling of the workforce</w:t>
      </w:r>
      <w:r>
        <w:rPr>
          <w:rFonts w:ascii="Franklin Gothic Book" w:hAnsi="Franklin Gothic Book" w:cstheme="minorHAnsi"/>
        </w:rPr>
        <w:t xml:space="preserve">. </w:t>
      </w:r>
      <w:r w:rsidR="00732306" w:rsidRPr="00732306">
        <w:rPr>
          <w:rFonts w:ascii="Franklin Gothic Book" w:hAnsi="Franklin Gothic Book" w:cstheme="minorHAnsi"/>
        </w:rPr>
        <w:t>Across all jobs, median annual wages grew 16.8% in Wisconsin between 2019 and 2022, outpacing inflation. The overall increase was influenced both by the greater stability of higher-wage jobs and by relatively strong wage growth in</w:t>
      </w:r>
      <w:r w:rsidR="00732306">
        <w:rPr>
          <w:rFonts w:ascii="Franklin Gothic Book" w:hAnsi="Franklin Gothic Book" w:cstheme="minorHAnsi"/>
        </w:rPr>
        <w:t xml:space="preserve"> many lower-paying occupations.</w:t>
      </w:r>
    </w:p>
    <w:p w:rsidR="00732306" w:rsidRDefault="00732306" w:rsidP="00732306">
      <w:pPr>
        <w:rPr>
          <w:rFonts w:ascii="Franklin Gothic Book" w:hAnsi="Franklin Gothic Book" w:cstheme="minorHAnsi"/>
        </w:rPr>
      </w:pPr>
    </w:p>
    <w:p w:rsidR="004E5E61" w:rsidRPr="00732306" w:rsidRDefault="004E5E61" w:rsidP="004E5E61">
      <w:pPr>
        <w:rPr>
          <w:rFonts w:ascii="Franklin Gothic Book" w:hAnsi="Franklin Gothic Book" w:cstheme="minorHAnsi"/>
        </w:rPr>
      </w:pPr>
      <w:r>
        <w:rPr>
          <w:rFonts w:ascii="Franklin Gothic Book" w:hAnsi="Franklin Gothic Book" w:cstheme="minorHAnsi"/>
        </w:rPr>
        <w:t>All three</w:t>
      </w:r>
      <w:r w:rsidRPr="00732306">
        <w:rPr>
          <w:rFonts w:ascii="Franklin Gothic Book" w:hAnsi="Franklin Gothic Book" w:cstheme="minorHAnsi"/>
        </w:rPr>
        <w:t xml:space="preserve"> of </w:t>
      </w:r>
      <w:r>
        <w:rPr>
          <w:rFonts w:ascii="Franklin Gothic Book" w:hAnsi="Franklin Gothic Book" w:cstheme="minorHAnsi"/>
        </w:rPr>
        <w:t>the state’s largest</w:t>
      </w:r>
      <w:r>
        <w:rPr>
          <w:rFonts w:ascii="Franklin Gothic Book" w:hAnsi="Franklin Gothic Book" w:cstheme="minorHAnsi"/>
        </w:rPr>
        <w:t xml:space="preserve"> metro </w:t>
      </w:r>
      <w:r w:rsidRPr="00732306">
        <w:rPr>
          <w:rFonts w:ascii="Franklin Gothic Book" w:hAnsi="Franklin Gothic Book" w:cstheme="minorHAnsi"/>
        </w:rPr>
        <w:t>areas</w:t>
      </w:r>
      <w:r>
        <w:rPr>
          <w:rFonts w:ascii="Franklin Gothic Book" w:hAnsi="Franklin Gothic Book" w:cstheme="minorHAnsi"/>
        </w:rPr>
        <w:t xml:space="preserve"> – Milwaukee, Madison, and Green Bay -- shed jobs between 2019 and 2022</w:t>
      </w:r>
      <w:r w:rsidRPr="00732306">
        <w:rPr>
          <w:rFonts w:ascii="Franklin Gothic Book" w:hAnsi="Franklin Gothic Book" w:cstheme="minorHAnsi"/>
        </w:rPr>
        <w:t>, while the balance of the state actually gained</w:t>
      </w:r>
      <w:r>
        <w:rPr>
          <w:rFonts w:ascii="Franklin Gothic Book" w:hAnsi="Franklin Gothic Book" w:cstheme="minorHAnsi"/>
        </w:rPr>
        <w:t xml:space="preserve"> jobs</w:t>
      </w:r>
      <w:r w:rsidRPr="00732306">
        <w:rPr>
          <w:rFonts w:ascii="Franklin Gothic Book" w:hAnsi="Franklin Gothic Book" w:cstheme="minorHAnsi"/>
        </w:rPr>
        <w:t>.</w:t>
      </w:r>
      <w:r>
        <w:rPr>
          <w:rFonts w:ascii="Franklin Gothic Book" w:hAnsi="Franklin Gothic Book" w:cstheme="minorHAnsi"/>
        </w:rPr>
        <w:t xml:space="preserve"> </w:t>
      </w:r>
      <w:r>
        <w:rPr>
          <w:rFonts w:ascii="Franklin Gothic Book" w:hAnsi="Franklin Gothic Book" w:cstheme="minorHAnsi"/>
        </w:rPr>
        <w:t>E</w:t>
      </w:r>
      <w:r w:rsidRPr="00732306">
        <w:rPr>
          <w:rFonts w:ascii="Franklin Gothic Book" w:hAnsi="Franklin Gothic Book" w:cstheme="minorHAnsi"/>
        </w:rPr>
        <w:t xml:space="preserve">ven the Madison </w:t>
      </w:r>
      <w:r>
        <w:rPr>
          <w:rFonts w:ascii="Franklin Gothic Book" w:hAnsi="Franklin Gothic Book" w:cstheme="minorHAnsi"/>
        </w:rPr>
        <w:t>metro area lost</w:t>
      </w:r>
      <w:r w:rsidRPr="00732306">
        <w:rPr>
          <w:rFonts w:ascii="Franklin Gothic Book" w:hAnsi="Franklin Gothic Book" w:cstheme="minorHAnsi"/>
        </w:rPr>
        <w:t xml:space="preserve"> jobs </w:t>
      </w:r>
      <w:r>
        <w:rPr>
          <w:rFonts w:ascii="Franklin Gothic Book" w:hAnsi="Franklin Gothic Book" w:cstheme="minorHAnsi"/>
        </w:rPr>
        <w:t xml:space="preserve">during the time period studied, </w:t>
      </w:r>
      <w:r w:rsidRPr="00732306">
        <w:rPr>
          <w:rFonts w:ascii="Franklin Gothic Book" w:hAnsi="Franklin Gothic Book" w:cstheme="minorHAnsi"/>
        </w:rPr>
        <w:t xml:space="preserve">despite leading the state in employment growth prior to the pandemic. </w:t>
      </w:r>
    </w:p>
    <w:p w:rsidR="004E5E61" w:rsidRPr="004E5E61" w:rsidRDefault="004E5E61" w:rsidP="004E5E61">
      <w:pPr>
        <w:rPr>
          <w:rFonts w:ascii="Franklin Gothic Book" w:hAnsi="Franklin Gothic Book" w:cstheme="minorHAnsi"/>
        </w:rPr>
      </w:pPr>
    </w:p>
    <w:p w:rsidR="004E5E61" w:rsidRPr="004E5E61" w:rsidRDefault="004E5E61" w:rsidP="004E5E61">
      <w:pPr>
        <w:rPr>
          <w:rFonts w:ascii="Franklin Gothic Book" w:hAnsi="Franklin Gothic Book" w:cstheme="minorHAnsi"/>
        </w:rPr>
      </w:pPr>
      <w:r>
        <w:rPr>
          <w:rFonts w:ascii="Franklin Gothic Book" w:hAnsi="Franklin Gothic Book" w:cstheme="minorHAnsi"/>
        </w:rPr>
        <w:t>In light of the large increase in remote work that began during</w:t>
      </w:r>
      <w:r w:rsidRPr="004E5E61">
        <w:rPr>
          <w:rFonts w:ascii="Franklin Gothic Book" w:hAnsi="Franklin Gothic Book" w:cstheme="minorHAnsi"/>
        </w:rPr>
        <w:t xml:space="preserve"> the pandemic, one key question in interpreting these data is how remote workers are being reported by employers to the state’s unemployment insurance system, from which the data are derived. That is particularly true in cases where the employee lives in a different community from their work site.</w:t>
      </w:r>
    </w:p>
    <w:p w:rsidR="004E5E61" w:rsidRPr="004E5E61" w:rsidRDefault="004E5E61" w:rsidP="004E5E61">
      <w:pPr>
        <w:rPr>
          <w:rFonts w:ascii="Franklin Gothic Book" w:hAnsi="Franklin Gothic Book" w:cstheme="minorHAnsi"/>
        </w:rPr>
      </w:pPr>
    </w:p>
    <w:p w:rsidR="00732306" w:rsidRDefault="004E5E61" w:rsidP="004E5E61">
      <w:pPr>
        <w:rPr>
          <w:rFonts w:ascii="Franklin Gothic Book" w:hAnsi="Franklin Gothic Book" w:cstheme="minorHAnsi"/>
        </w:rPr>
      </w:pPr>
      <w:r w:rsidRPr="004E5E61">
        <w:rPr>
          <w:rFonts w:ascii="Franklin Gothic Book" w:hAnsi="Franklin Gothic Book" w:cstheme="minorHAnsi"/>
        </w:rPr>
        <w:t>The Forum reviewed the Bureau of Labor Statistics’ survey methodology and spoke with both federal and state officials, but the answer remains unclear. Federal officials also noted that some companies eliminated their physical locations entirely during the pandemic, in which case their employees likely would be counted in statewide totals but not in any local area.</w:t>
      </w:r>
    </w:p>
    <w:p w:rsidR="004E5E61" w:rsidRPr="00732306" w:rsidRDefault="004E5E61" w:rsidP="004E5E61">
      <w:pPr>
        <w:rPr>
          <w:rFonts w:ascii="Franklin Gothic Book" w:hAnsi="Franklin Gothic Book" w:cstheme="minorHAnsi"/>
        </w:rPr>
      </w:pPr>
    </w:p>
    <w:p w:rsidR="00732306" w:rsidRDefault="00732306" w:rsidP="00732306">
      <w:pPr>
        <w:rPr>
          <w:rFonts w:ascii="Franklin Gothic Book" w:hAnsi="Franklin Gothic Book" w:cstheme="minorHAnsi"/>
        </w:rPr>
      </w:pPr>
      <w:r>
        <w:rPr>
          <w:rFonts w:ascii="Franklin Gothic Book" w:hAnsi="Franklin Gothic Book" w:cstheme="minorHAnsi"/>
        </w:rPr>
        <w:t xml:space="preserve">Overall, </w:t>
      </w:r>
      <w:r w:rsidRPr="00732306">
        <w:rPr>
          <w:rFonts w:ascii="Franklin Gothic Book" w:hAnsi="Franklin Gothic Book" w:cstheme="minorHAnsi"/>
        </w:rPr>
        <w:t xml:space="preserve">Wisconsin looks to have weathered the pandemic storm relatively well from a jobs perspective. </w:t>
      </w:r>
      <w:r w:rsidR="005F245F" w:rsidRPr="005F245F">
        <w:rPr>
          <w:rFonts w:ascii="Franklin Gothic Book" w:hAnsi="Franklin Gothic Book" w:cstheme="minorHAnsi"/>
        </w:rPr>
        <w:t>That said, the state faces several challenges as employers struggle to find workers. These difficulties require a multi-pronged set of solutions that touch every point of the workforce development and educational spectrums, from early childhood to higher education, and that rise above political and ideological differences.</w:t>
      </w:r>
      <w:bookmarkStart w:id="0" w:name="_GoBack"/>
      <w:bookmarkEnd w:id="0"/>
    </w:p>
    <w:p w:rsidR="00760731" w:rsidRPr="0001795C" w:rsidRDefault="00760731" w:rsidP="0001795C">
      <w:pPr>
        <w:rPr>
          <w:rFonts w:ascii="Franklin Gothic Book" w:hAnsi="Franklin Gothic Book" w:cstheme="minorHAnsi"/>
          <w:b/>
        </w:rPr>
      </w:pPr>
    </w:p>
    <w:p w:rsidR="00945294" w:rsidRPr="009A2BDC" w:rsidRDefault="00651D3B" w:rsidP="00F862BA">
      <w:pPr>
        <w:shd w:val="clear" w:color="auto" w:fill="FFFFFF"/>
        <w:rPr>
          <w:rFonts w:ascii="Franklin Gothic Book" w:hAnsi="Franklin Gothic Book" w:cstheme="minorHAnsi"/>
        </w:rPr>
      </w:pPr>
      <w:r w:rsidRPr="009A2BDC">
        <w:rPr>
          <w:rFonts w:ascii="Franklin Gothic Book" w:hAnsi="Franklin Gothic Book" w:cstheme="minorHAnsi"/>
          <w:i/>
        </w:rPr>
        <w:t>This information is a service of the Wisconsin Policy Forum, the state’s leading resource for nonpartisan state and local government research and civic education. Learn more at</w:t>
      </w:r>
      <w:r w:rsidR="008B4465" w:rsidRPr="009A2BDC">
        <w:rPr>
          <w:rFonts w:ascii="Franklin Gothic Book" w:hAnsi="Franklin Gothic Book" w:cstheme="minorHAnsi"/>
          <w:i/>
        </w:rPr>
        <w:t xml:space="preserve"> </w:t>
      </w:r>
      <w:hyperlink r:id="rId5" w:history="1">
        <w:r w:rsidR="008B4465" w:rsidRPr="009A2BDC">
          <w:rPr>
            <w:rStyle w:val="Hyperlink"/>
            <w:rFonts w:ascii="Franklin Gothic Book" w:hAnsi="Franklin Gothic Book" w:cstheme="minorHAnsi"/>
            <w:i/>
          </w:rPr>
          <w:t>wispolicyforum.org</w:t>
        </w:r>
      </w:hyperlink>
      <w:r w:rsidR="008B4465" w:rsidRPr="009A2BDC">
        <w:rPr>
          <w:rFonts w:ascii="Franklin Gothic Book" w:hAnsi="Franklin Gothic Book" w:cstheme="minorHAnsi"/>
          <w:i/>
        </w:rPr>
        <w:t>.</w:t>
      </w:r>
    </w:p>
    <w:sectPr w:rsidR="00945294" w:rsidRPr="009A2B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E2193"/>
    <w:multiLevelType w:val="hybridMultilevel"/>
    <w:tmpl w:val="6882B5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4736276"/>
    <w:multiLevelType w:val="hybridMultilevel"/>
    <w:tmpl w:val="12664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17693C"/>
    <w:multiLevelType w:val="hybridMultilevel"/>
    <w:tmpl w:val="FF4E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577143"/>
    <w:multiLevelType w:val="hybridMultilevel"/>
    <w:tmpl w:val="B4E40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C636A7"/>
    <w:multiLevelType w:val="hybridMultilevel"/>
    <w:tmpl w:val="E4D2F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F701E8"/>
    <w:multiLevelType w:val="hybridMultilevel"/>
    <w:tmpl w:val="A2481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E81B30"/>
    <w:multiLevelType w:val="hybridMultilevel"/>
    <w:tmpl w:val="8B605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5F51CC"/>
    <w:multiLevelType w:val="hybridMultilevel"/>
    <w:tmpl w:val="1E2AA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845880"/>
    <w:multiLevelType w:val="hybridMultilevel"/>
    <w:tmpl w:val="F0EE7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8335B0"/>
    <w:multiLevelType w:val="hybridMultilevel"/>
    <w:tmpl w:val="D6225B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DA229E"/>
    <w:multiLevelType w:val="hybridMultilevel"/>
    <w:tmpl w:val="E796F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C121B4"/>
    <w:multiLevelType w:val="hybridMultilevel"/>
    <w:tmpl w:val="3E48D6A0"/>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12" w15:restartNumberingAfterBreak="0">
    <w:nsid w:val="303D598D"/>
    <w:multiLevelType w:val="hybridMultilevel"/>
    <w:tmpl w:val="E44CE9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847EB5"/>
    <w:multiLevelType w:val="hybridMultilevel"/>
    <w:tmpl w:val="87402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C82CA5"/>
    <w:multiLevelType w:val="hybridMultilevel"/>
    <w:tmpl w:val="F094F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1516B1"/>
    <w:multiLevelType w:val="hybridMultilevel"/>
    <w:tmpl w:val="97BA4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980B5F"/>
    <w:multiLevelType w:val="hybridMultilevel"/>
    <w:tmpl w:val="3898A1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DB0115"/>
    <w:multiLevelType w:val="hybridMultilevel"/>
    <w:tmpl w:val="72A6E28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4401BE"/>
    <w:multiLevelType w:val="hybridMultilevel"/>
    <w:tmpl w:val="0DAA9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8861A5"/>
    <w:multiLevelType w:val="hybridMultilevel"/>
    <w:tmpl w:val="6F5EF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526CF6"/>
    <w:multiLevelType w:val="hybridMultilevel"/>
    <w:tmpl w:val="4572A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8E3144"/>
    <w:multiLevelType w:val="hybridMultilevel"/>
    <w:tmpl w:val="91C49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19C50CA"/>
    <w:multiLevelType w:val="hybridMultilevel"/>
    <w:tmpl w:val="4CCE14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5AC12DF"/>
    <w:multiLevelType w:val="hybridMultilevel"/>
    <w:tmpl w:val="3AAAE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BDF5BDE"/>
    <w:multiLevelType w:val="hybridMultilevel"/>
    <w:tmpl w:val="81DC7D7A"/>
    <w:lvl w:ilvl="0" w:tplc="9D3A2D9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7"/>
  </w:num>
  <w:num w:numId="3">
    <w:abstractNumId w:val="16"/>
  </w:num>
  <w:num w:numId="4">
    <w:abstractNumId w:val="0"/>
  </w:num>
  <w:num w:numId="5">
    <w:abstractNumId w:val="18"/>
  </w:num>
  <w:num w:numId="6">
    <w:abstractNumId w:val="17"/>
  </w:num>
  <w:num w:numId="7">
    <w:abstractNumId w:val="9"/>
  </w:num>
  <w:num w:numId="8">
    <w:abstractNumId w:val="22"/>
  </w:num>
  <w:num w:numId="9">
    <w:abstractNumId w:val="6"/>
  </w:num>
  <w:num w:numId="10">
    <w:abstractNumId w:val="10"/>
  </w:num>
  <w:num w:numId="11">
    <w:abstractNumId w:val="23"/>
  </w:num>
  <w:num w:numId="12">
    <w:abstractNumId w:val="20"/>
  </w:num>
  <w:num w:numId="13">
    <w:abstractNumId w:val="14"/>
  </w:num>
  <w:num w:numId="14">
    <w:abstractNumId w:val="5"/>
  </w:num>
  <w:num w:numId="15">
    <w:abstractNumId w:val="4"/>
  </w:num>
  <w:num w:numId="16">
    <w:abstractNumId w:val="19"/>
  </w:num>
  <w:num w:numId="17">
    <w:abstractNumId w:val="21"/>
  </w:num>
  <w:num w:numId="18">
    <w:abstractNumId w:val="24"/>
  </w:num>
  <w:num w:numId="19">
    <w:abstractNumId w:val="15"/>
  </w:num>
  <w:num w:numId="20">
    <w:abstractNumId w:val="13"/>
  </w:num>
  <w:num w:numId="21">
    <w:abstractNumId w:val="1"/>
  </w:num>
  <w:num w:numId="22">
    <w:abstractNumId w:val="3"/>
  </w:num>
  <w:num w:numId="23">
    <w:abstractNumId w:val="11"/>
  </w:num>
  <w:num w:numId="24">
    <w:abstractNumId w:val="12"/>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01B"/>
    <w:rsid w:val="00002011"/>
    <w:rsid w:val="0000222A"/>
    <w:rsid w:val="00005C50"/>
    <w:rsid w:val="00006080"/>
    <w:rsid w:val="00013E15"/>
    <w:rsid w:val="00017316"/>
    <w:rsid w:val="0001795C"/>
    <w:rsid w:val="00023F08"/>
    <w:rsid w:val="00024A4B"/>
    <w:rsid w:val="0002711A"/>
    <w:rsid w:val="00027EA7"/>
    <w:rsid w:val="00030218"/>
    <w:rsid w:val="00030DA7"/>
    <w:rsid w:val="000327AB"/>
    <w:rsid w:val="00033707"/>
    <w:rsid w:val="000448EF"/>
    <w:rsid w:val="00046ACB"/>
    <w:rsid w:val="0005444E"/>
    <w:rsid w:val="00060ED2"/>
    <w:rsid w:val="00061C1F"/>
    <w:rsid w:val="000639BA"/>
    <w:rsid w:val="00072AD0"/>
    <w:rsid w:val="00075616"/>
    <w:rsid w:val="000767AF"/>
    <w:rsid w:val="00076D7E"/>
    <w:rsid w:val="00083BDC"/>
    <w:rsid w:val="00084143"/>
    <w:rsid w:val="00094691"/>
    <w:rsid w:val="00096E0E"/>
    <w:rsid w:val="00097484"/>
    <w:rsid w:val="000975DA"/>
    <w:rsid w:val="000A0C64"/>
    <w:rsid w:val="000A7E6C"/>
    <w:rsid w:val="000B6347"/>
    <w:rsid w:val="000B703B"/>
    <w:rsid w:val="000C079A"/>
    <w:rsid w:val="000C1C06"/>
    <w:rsid w:val="000C6E57"/>
    <w:rsid w:val="000C742D"/>
    <w:rsid w:val="000C7EAA"/>
    <w:rsid w:val="000D07F5"/>
    <w:rsid w:val="000D1C1A"/>
    <w:rsid w:val="000E2288"/>
    <w:rsid w:val="000E7026"/>
    <w:rsid w:val="000E7713"/>
    <w:rsid w:val="000F3E7E"/>
    <w:rsid w:val="000F737A"/>
    <w:rsid w:val="0010157E"/>
    <w:rsid w:val="00101D3B"/>
    <w:rsid w:val="00105962"/>
    <w:rsid w:val="001078EB"/>
    <w:rsid w:val="00110370"/>
    <w:rsid w:val="00116C91"/>
    <w:rsid w:val="0011752A"/>
    <w:rsid w:val="00117B41"/>
    <w:rsid w:val="00122304"/>
    <w:rsid w:val="00123652"/>
    <w:rsid w:val="001279CF"/>
    <w:rsid w:val="00127DDE"/>
    <w:rsid w:val="00133BA7"/>
    <w:rsid w:val="001345F0"/>
    <w:rsid w:val="00134ED6"/>
    <w:rsid w:val="00135005"/>
    <w:rsid w:val="00135643"/>
    <w:rsid w:val="001403B1"/>
    <w:rsid w:val="00142A38"/>
    <w:rsid w:val="0014528D"/>
    <w:rsid w:val="001460FD"/>
    <w:rsid w:val="00152EF1"/>
    <w:rsid w:val="001551A1"/>
    <w:rsid w:val="0016074F"/>
    <w:rsid w:val="00163EBD"/>
    <w:rsid w:val="00170597"/>
    <w:rsid w:val="0017168F"/>
    <w:rsid w:val="0017402B"/>
    <w:rsid w:val="00177990"/>
    <w:rsid w:val="00181D08"/>
    <w:rsid w:val="00187430"/>
    <w:rsid w:val="00192F8C"/>
    <w:rsid w:val="001A29F1"/>
    <w:rsid w:val="001A4472"/>
    <w:rsid w:val="001B085F"/>
    <w:rsid w:val="001B7D67"/>
    <w:rsid w:val="001C25DB"/>
    <w:rsid w:val="001C2D29"/>
    <w:rsid w:val="001D080E"/>
    <w:rsid w:val="001D1A21"/>
    <w:rsid w:val="001D24C0"/>
    <w:rsid w:val="001D5348"/>
    <w:rsid w:val="001D6EFB"/>
    <w:rsid w:val="001D7218"/>
    <w:rsid w:val="001E0ED0"/>
    <w:rsid w:val="001E7246"/>
    <w:rsid w:val="001F3699"/>
    <w:rsid w:val="001F391C"/>
    <w:rsid w:val="001F4973"/>
    <w:rsid w:val="001F5582"/>
    <w:rsid w:val="001F74E2"/>
    <w:rsid w:val="001F7D21"/>
    <w:rsid w:val="001F7D95"/>
    <w:rsid w:val="00200C75"/>
    <w:rsid w:val="0020559F"/>
    <w:rsid w:val="00207698"/>
    <w:rsid w:val="00210928"/>
    <w:rsid w:val="002109B2"/>
    <w:rsid w:val="00212495"/>
    <w:rsid w:val="00213082"/>
    <w:rsid w:val="002133C0"/>
    <w:rsid w:val="00217DFF"/>
    <w:rsid w:val="00224F99"/>
    <w:rsid w:val="00225119"/>
    <w:rsid w:val="0022772B"/>
    <w:rsid w:val="00227FF5"/>
    <w:rsid w:val="00231F8B"/>
    <w:rsid w:val="00233F83"/>
    <w:rsid w:val="002357EC"/>
    <w:rsid w:val="0023635F"/>
    <w:rsid w:val="0023647E"/>
    <w:rsid w:val="002375CE"/>
    <w:rsid w:val="002464D9"/>
    <w:rsid w:val="00251B32"/>
    <w:rsid w:val="00252D19"/>
    <w:rsid w:val="00252F46"/>
    <w:rsid w:val="00256FE8"/>
    <w:rsid w:val="00257B07"/>
    <w:rsid w:val="0026426C"/>
    <w:rsid w:val="00264DC4"/>
    <w:rsid w:val="00267640"/>
    <w:rsid w:val="00267B35"/>
    <w:rsid w:val="00275A57"/>
    <w:rsid w:val="0028152E"/>
    <w:rsid w:val="00282AC3"/>
    <w:rsid w:val="00282E74"/>
    <w:rsid w:val="00283455"/>
    <w:rsid w:val="00290A7D"/>
    <w:rsid w:val="00290D1F"/>
    <w:rsid w:val="00291EF6"/>
    <w:rsid w:val="00292321"/>
    <w:rsid w:val="002930D5"/>
    <w:rsid w:val="00295527"/>
    <w:rsid w:val="0029767A"/>
    <w:rsid w:val="002A0354"/>
    <w:rsid w:val="002A0B19"/>
    <w:rsid w:val="002A26C6"/>
    <w:rsid w:val="002A41FD"/>
    <w:rsid w:val="002A5073"/>
    <w:rsid w:val="002A773E"/>
    <w:rsid w:val="002B1A77"/>
    <w:rsid w:val="002B3033"/>
    <w:rsid w:val="002B5414"/>
    <w:rsid w:val="002C2368"/>
    <w:rsid w:val="002C5B60"/>
    <w:rsid w:val="002C5D27"/>
    <w:rsid w:val="002C64F1"/>
    <w:rsid w:val="002D0545"/>
    <w:rsid w:val="002D0D20"/>
    <w:rsid w:val="002D59AC"/>
    <w:rsid w:val="002D6BF9"/>
    <w:rsid w:val="002E0FDC"/>
    <w:rsid w:val="002E466C"/>
    <w:rsid w:val="002E7DBF"/>
    <w:rsid w:val="002F0CED"/>
    <w:rsid w:val="002F0D68"/>
    <w:rsid w:val="002F264B"/>
    <w:rsid w:val="002F674D"/>
    <w:rsid w:val="003001AF"/>
    <w:rsid w:val="00301354"/>
    <w:rsid w:val="003032B0"/>
    <w:rsid w:val="00307765"/>
    <w:rsid w:val="00307B68"/>
    <w:rsid w:val="00311CA1"/>
    <w:rsid w:val="00313348"/>
    <w:rsid w:val="00313ED4"/>
    <w:rsid w:val="00315351"/>
    <w:rsid w:val="00315CFF"/>
    <w:rsid w:val="003206C0"/>
    <w:rsid w:val="00320D43"/>
    <w:rsid w:val="00323DE6"/>
    <w:rsid w:val="00326892"/>
    <w:rsid w:val="0033146C"/>
    <w:rsid w:val="00333CBD"/>
    <w:rsid w:val="003346AC"/>
    <w:rsid w:val="00336090"/>
    <w:rsid w:val="00340E36"/>
    <w:rsid w:val="0034186F"/>
    <w:rsid w:val="00342BD7"/>
    <w:rsid w:val="00342E07"/>
    <w:rsid w:val="00344FAF"/>
    <w:rsid w:val="003479AE"/>
    <w:rsid w:val="00354491"/>
    <w:rsid w:val="00355F63"/>
    <w:rsid w:val="0035717F"/>
    <w:rsid w:val="00360782"/>
    <w:rsid w:val="0037249B"/>
    <w:rsid w:val="003756BA"/>
    <w:rsid w:val="00375B61"/>
    <w:rsid w:val="00376A37"/>
    <w:rsid w:val="0037743C"/>
    <w:rsid w:val="00380494"/>
    <w:rsid w:val="00380E5C"/>
    <w:rsid w:val="00384FFB"/>
    <w:rsid w:val="003853FA"/>
    <w:rsid w:val="00390523"/>
    <w:rsid w:val="00390A15"/>
    <w:rsid w:val="00391B40"/>
    <w:rsid w:val="00394572"/>
    <w:rsid w:val="00395022"/>
    <w:rsid w:val="003A0EEC"/>
    <w:rsid w:val="003A167C"/>
    <w:rsid w:val="003A2BC1"/>
    <w:rsid w:val="003A6670"/>
    <w:rsid w:val="003B47CC"/>
    <w:rsid w:val="003C755D"/>
    <w:rsid w:val="003D18B3"/>
    <w:rsid w:val="003E0700"/>
    <w:rsid w:val="003E07FE"/>
    <w:rsid w:val="003E2271"/>
    <w:rsid w:val="003E4761"/>
    <w:rsid w:val="003E6A18"/>
    <w:rsid w:val="003F0124"/>
    <w:rsid w:val="003F52EE"/>
    <w:rsid w:val="00400730"/>
    <w:rsid w:val="00401D0D"/>
    <w:rsid w:val="0040220E"/>
    <w:rsid w:val="00402CAE"/>
    <w:rsid w:val="00404F7A"/>
    <w:rsid w:val="00406AB4"/>
    <w:rsid w:val="00406F6B"/>
    <w:rsid w:val="00412BE3"/>
    <w:rsid w:val="004165F2"/>
    <w:rsid w:val="004173A3"/>
    <w:rsid w:val="00420FFD"/>
    <w:rsid w:val="00422619"/>
    <w:rsid w:val="00422D7F"/>
    <w:rsid w:val="00426663"/>
    <w:rsid w:val="004315D7"/>
    <w:rsid w:val="004320B2"/>
    <w:rsid w:val="004333A0"/>
    <w:rsid w:val="00433E50"/>
    <w:rsid w:val="0043768B"/>
    <w:rsid w:val="00437ACA"/>
    <w:rsid w:val="004403F1"/>
    <w:rsid w:val="00440B68"/>
    <w:rsid w:val="004428D1"/>
    <w:rsid w:val="00443A88"/>
    <w:rsid w:val="0044487A"/>
    <w:rsid w:val="00446FBF"/>
    <w:rsid w:val="00447656"/>
    <w:rsid w:val="004534B5"/>
    <w:rsid w:val="00453969"/>
    <w:rsid w:val="00462692"/>
    <w:rsid w:val="00465751"/>
    <w:rsid w:val="00470B9E"/>
    <w:rsid w:val="00471547"/>
    <w:rsid w:val="00471E7F"/>
    <w:rsid w:val="00473322"/>
    <w:rsid w:val="00474D03"/>
    <w:rsid w:val="004754CA"/>
    <w:rsid w:val="004754FF"/>
    <w:rsid w:val="00475944"/>
    <w:rsid w:val="00477665"/>
    <w:rsid w:val="00477F66"/>
    <w:rsid w:val="00482A02"/>
    <w:rsid w:val="00483581"/>
    <w:rsid w:val="00485425"/>
    <w:rsid w:val="0048559B"/>
    <w:rsid w:val="00493AC3"/>
    <w:rsid w:val="00495534"/>
    <w:rsid w:val="004956A5"/>
    <w:rsid w:val="004975AD"/>
    <w:rsid w:val="004A0708"/>
    <w:rsid w:val="004A1813"/>
    <w:rsid w:val="004A27BF"/>
    <w:rsid w:val="004A563E"/>
    <w:rsid w:val="004B2F6E"/>
    <w:rsid w:val="004B5A4C"/>
    <w:rsid w:val="004B61E2"/>
    <w:rsid w:val="004B7233"/>
    <w:rsid w:val="004C2D13"/>
    <w:rsid w:val="004C2F8E"/>
    <w:rsid w:val="004C4246"/>
    <w:rsid w:val="004C6FF2"/>
    <w:rsid w:val="004C77B4"/>
    <w:rsid w:val="004D287F"/>
    <w:rsid w:val="004D45F7"/>
    <w:rsid w:val="004D4F64"/>
    <w:rsid w:val="004D7D43"/>
    <w:rsid w:val="004E0865"/>
    <w:rsid w:val="004E0958"/>
    <w:rsid w:val="004E1EF5"/>
    <w:rsid w:val="004E312A"/>
    <w:rsid w:val="004E33D6"/>
    <w:rsid w:val="004E5BB0"/>
    <w:rsid w:val="004E5E61"/>
    <w:rsid w:val="004E7BA7"/>
    <w:rsid w:val="004F1C21"/>
    <w:rsid w:val="004F3EC2"/>
    <w:rsid w:val="004F6243"/>
    <w:rsid w:val="004F7D44"/>
    <w:rsid w:val="00500314"/>
    <w:rsid w:val="00503F26"/>
    <w:rsid w:val="00505575"/>
    <w:rsid w:val="00510DC3"/>
    <w:rsid w:val="00512E1D"/>
    <w:rsid w:val="00514C5B"/>
    <w:rsid w:val="00514FC9"/>
    <w:rsid w:val="00515082"/>
    <w:rsid w:val="00515830"/>
    <w:rsid w:val="0052059C"/>
    <w:rsid w:val="00521038"/>
    <w:rsid w:val="0052197F"/>
    <w:rsid w:val="00524EA9"/>
    <w:rsid w:val="005256D6"/>
    <w:rsid w:val="005322C3"/>
    <w:rsid w:val="0053293F"/>
    <w:rsid w:val="00534132"/>
    <w:rsid w:val="005429A0"/>
    <w:rsid w:val="00542B0D"/>
    <w:rsid w:val="005431A3"/>
    <w:rsid w:val="0054373F"/>
    <w:rsid w:val="005453AD"/>
    <w:rsid w:val="00547FAA"/>
    <w:rsid w:val="005508D9"/>
    <w:rsid w:val="005515DE"/>
    <w:rsid w:val="005530C2"/>
    <w:rsid w:val="00556BBA"/>
    <w:rsid w:val="00563C7B"/>
    <w:rsid w:val="0056442E"/>
    <w:rsid w:val="005672F6"/>
    <w:rsid w:val="005713B1"/>
    <w:rsid w:val="00574453"/>
    <w:rsid w:val="0057766D"/>
    <w:rsid w:val="005845ED"/>
    <w:rsid w:val="0058749E"/>
    <w:rsid w:val="00592322"/>
    <w:rsid w:val="00592D78"/>
    <w:rsid w:val="00596BA0"/>
    <w:rsid w:val="005A7A83"/>
    <w:rsid w:val="005B395B"/>
    <w:rsid w:val="005C05D5"/>
    <w:rsid w:val="005C607D"/>
    <w:rsid w:val="005D1C9A"/>
    <w:rsid w:val="005D3FDB"/>
    <w:rsid w:val="005E0DCD"/>
    <w:rsid w:val="005E2C31"/>
    <w:rsid w:val="005F245F"/>
    <w:rsid w:val="005F55FF"/>
    <w:rsid w:val="005F76DA"/>
    <w:rsid w:val="006007CB"/>
    <w:rsid w:val="006042A2"/>
    <w:rsid w:val="00605011"/>
    <w:rsid w:val="0060634B"/>
    <w:rsid w:val="00611CEA"/>
    <w:rsid w:val="00612545"/>
    <w:rsid w:val="00612CDE"/>
    <w:rsid w:val="00613981"/>
    <w:rsid w:val="006169EF"/>
    <w:rsid w:val="00620A16"/>
    <w:rsid w:val="00622418"/>
    <w:rsid w:val="0062290D"/>
    <w:rsid w:val="00624422"/>
    <w:rsid w:val="006322CA"/>
    <w:rsid w:val="006331E2"/>
    <w:rsid w:val="0063396E"/>
    <w:rsid w:val="00635E9F"/>
    <w:rsid w:val="00641ACA"/>
    <w:rsid w:val="0064387C"/>
    <w:rsid w:val="00645C75"/>
    <w:rsid w:val="006503EB"/>
    <w:rsid w:val="00651D3B"/>
    <w:rsid w:val="00651E88"/>
    <w:rsid w:val="006553F7"/>
    <w:rsid w:val="0066219E"/>
    <w:rsid w:val="00671882"/>
    <w:rsid w:val="0067232E"/>
    <w:rsid w:val="00672349"/>
    <w:rsid w:val="00672D91"/>
    <w:rsid w:val="00675D89"/>
    <w:rsid w:val="006777EA"/>
    <w:rsid w:val="00681CF4"/>
    <w:rsid w:val="006911C3"/>
    <w:rsid w:val="00694DEE"/>
    <w:rsid w:val="006A7F0F"/>
    <w:rsid w:val="006B30E0"/>
    <w:rsid w:val="006B5F18"/>
    <w:rsid w:val="006B6991"/>
    <w:rsid w:val="006B7983"/>
    <w:rsid w:val="006C1B31"/>
    <w:rsid w:val="006C3933"/>
    <w:rsid w:val="006C62AA"/>
    <w:rsid w:val="006C7DB7"/>
    <w:rsid w:val="006D0FA9"/>
    <w:rsid w:val="006D11B5"/>
    <w:rsid w:val="006D474B"/>
    <w:rsid w:val="006D5643"/>
    <w:rsid w:val="006E3953"/>
    <w:rsid w:val="006E471E"/>
    <w:rsid w:val="006E7695"/>
    <w:rsid w:val="006F0DEA"/>
    <w:rsid w:val="006F312C"/>
    <w:rsid w:val="006F35A5"/>
    <w:rsid w:val="006F3DC0"/>
    <w:rsid w:val="006F69D2"/>
    <w:rsid w:val="00702E58"/>
    <w:rsid w:val="0070301B"/>
    <w:rsid w:val="00711815"/>
    <w:rsid w:val="00717C1B"/>
    <w:rsid w:val="00717F19"/>
    <w:rsid w:val="00721E38"/>
    <w:rsid w:val="007222BA"/>
    <w:rsid w:val="00731F6F"/>
    <w:rsid w:val="00732306"/>
    <w:rsid w:val="00733DEC"/>
    <w:rsid w:val="00737E2B"/>
    <w:rsid w:val="007428AA"/>
    <w:rsid w:val="00742C90"/>
    <w:rsid w:val="007501EA"/>
    <w:rsid w:val="00752557"/>
    <w:rsid w:val="007532C7"/>
    <w:rsid w:val="00756595"/>
    <w:rsid w:val="00756D35"/>
    <w:rsid w:val="007571FA"/>
    <w:rsid w:val="007605E3"/>
    <w:rsid w:val="00760731"/>
    <w:rsid w:val="00761CA2"/>
    <w:rsid w:val="00761D29"/>
    <w:rsid w:val="00764979"/>
    <w:rsid w:val="00766F7A"/>
    <w:rsid w:val="00767082"/>
    <w:rsid w:val="00774C95"/>
    <w:rsid w:val="007860B9"/>
    <w:rsid w:val="00787E47"/>
    <w:rsid w:val="00790740"/>
    <w:rsid w:val="00790C15"/>
    <w:rsid w:val="00793D80"/>
    <w:rsid w:val="0079649C"/>
    <w:rsid w:val="007A11AF"/>
    <w:rsid w:val="007A4412"/>
    <w:rsid w:val="007A559B"/>
    <w:rsid w:val="007B37A6"/>
    <w:rsid w:val="007B5610"/>
    <w:rsid w:val="007B5E2A"/>
    <w:rsid w:val="007B6585"/>
    <w:rsid w:val="007B6FCE"/>
    <w:rsid w:val="007C03B5"/>
    <w:rsid w:val="007C03E6"/>
    <w:rsid w:val="007C09C5"/>
    <w:rsid w:val="007C1525"/>
    <w:rsid w:val="007D226D"/>
    <w:rsid w:val="007D47C2"/>
    <w:rsid w:val="007D4FEE"/>
    <w:rsid w:val="007D7F47"/>
    <w:rsid w:val="007E120A"/>
    <w:rsid w:val="007E32AA"/>
    <w:rsid w:val="007E524C"/>
    <w:rsid w:val="007E53DA"/>
    <w:rsid w:val="007F148D"/>
    <w:rsid w:val="007F2C54"/>
    <w:rsid w:val="007F4F93"/>
    <w:rsid w:val="007F6FE3"/>
    <w:rsid w:val="007F7990"/>
    <w:rsid w:val="008021FA"/>
    <w:rsid w:val="008038D6"/>
    <w:rsid w:val="00804592"/>
    <w:rsid w:val="008053F4"/>
    <w:rsid w:val="0080668F"/>
    <w:rsid w:val="008073AA"/>
    <w:rsid w:val="00807655"/>
    <w:rsid w:val="0081163E"/>
    <w:rsid w:val="00812C68"/>
    <w:rsid w:val="008152F0"/>
    <w:rsid w:val="00820FA2"/>
    <w:rsid w:val="00821EB2"/>
    <w:rsid w:val="00824E11"/>
    <w:rsid w:val="00824E79"/>
    <w:rsid w:val="00826A64"/>
    <w:rsid w:val="00830F1A"/>
    <w:rsid w:val="0083303E"/>
    <w:rsid w:val="00835AAF"/>
    <w:rsid w:val="008360EC"/>
    <w:rsid w:val="008375A3"/>
    <w:rsid w:val="008442EC"/>
    <w:rsid w:val="008449B9"/>
    <w:rsid w:val="0084550E"/>
    <w:rsid w:val="00846DE3"/>
    <w:rsid w:val="008475EB"/>
    <w:rsid w:val="00850258"/>
    <w:rsid w:val="00851013"/>
    <w:rsid w:val="0085426E"/>
    <w:rsid w:val="008544D5"/>
    <w:rsid w:val="008625A0"/>
    <w:rsid w:val="008630D0"/>
    <w:rsid w:val="00866D52"/>
    <w:rsid w:val="00867912"/>
    <w:rsid w:val="008735B6"/>
    <w:rsid w:val="008751B9"/>
    <w:rsid w:val="00880AE3"/>
    <w:rsid w:val="00881456"/>
    <w:rsid w:val="00881978"/>
    <w:rsid w:val="0088736D"/>
    <w:rsid w:val="008901C0"/>
    <w:rsid w:val="00890B29"/>
    <w:rsid w:val="008920B5"/>
    <w:rsid w:val="00892475"/>
    <w:rsid w:val="00895A6C"/>
    <w:rsid w:val="00897506"/>
    <w:rsid w:val="008A2107"/>
    <w:rsid w:val="008A2FD3"/>
    <w:rsid w:val="008A3F80"/>
    <w:rsid w:val="008A47B7"/>
    <w:rsid w:val="008B2200"/>
    <w:rsid w:val="008B232A"/>
    <w:rsid w:val="008B3D6F"/>
    <w:rsid w:val="008B4465"/>
    <w:rsid w:val="008B549A"/>
    <w:rsid w:val="008C0B69"/>
    <w:rsid w:val="008C1D3D"/>
    <w:rsid w:val="008C326A"/>
    <w:rsid w:val="008C33C4"/>
    <w:rsid w:val="008C43BF"/>
    <w:rsid w:val="008C6590"/>
    <w:rsid w:val="008C691C"/>
    <w:rsid w:val="008D19EC"/>
    <w:rsid w:val="008D2718"/>
    <w:rsid w:val="008D4673"/>
    <w:rsid w:val="008D678A"/>
    <w:rsid w:val="008E07EC"/>
    <w:rsid w:val="008E402B"/>
    <w:rsid w:val="008E4CD9"/>
    <w:rsid w:val="008E4E51"/>
    <w:rsid w:val="008F168A"/>
    <w:rsid w:val="00900472"/>
    <w:rsid w:val="009058A5"/>
    <w:rsid w:val="00910CEA"/>
    <w:rsid w:val="00911899"/>
    <w:rsid w:val="00917144"/>
    <w:rsid w:val="0092026E"/>
    <w:rsid w:val="00921362"/>
    <w:rsid w:val="009330C1"/>
    <w:rsid w:val="00942F7E"/>
    <w:rsid w:val="00945294"/>
    <w:rsid w:val="0095035A"/>
    <w:rsid w:val="00953887"/>
    <w:rsid w:val="00953964"/>
    <w:rsid w:val="00953C31"/>
    <w:rsid w:val="00955826"/>
    <w:rsid w:val="00957CB9"/>
    <w:rsid w:val="00960705"/>
    <w:rsid w:val="00963E91"/>
    <w:rsid w:val="00966C01"/>
    <w:rsid w:val="00966DE6"/>
    <w:rsid w:val="00971E7F"/>
    <w:rsid w:val="00972A25"/>
    <w:rsid w:val="00974B47"/>
    <w:rsid w:val="009759F0"/>
    <w:rsid w:val="009770BF"/>
    <w:rsid w:val="00977E9E"/>
    <w:rsid w:val="00980EC9"/>
    <w:rsid w:val="00982392"/>
    <w:rsid w:val="009826C9"/>
    <w:rsid w:val="00990949"/>
    <w:rsid w:val="00991B46"/>
    <w:rsid w:val="009A0F0F"/>
    <w:rsid w:val="009A1E19"/>
    <w:rsid w:val="009A2BDC"/>
    <w:rsid w:val="009A47F6"/>
    <w:rsid w:val="009A61AB"/>
    <w:rsid w:val="009B2019"/>
    <w:rsid w:val="009B41BB"/>
    <w:rsid w:val="009C226D"/>
    <w:rsid w:val="009C2C0E"/>
    <w:rsid w:val="009C3AF7"/>
    <w:rsid w:val="009C4356"/>
    <w:rsid w:val="009D0BAA"/>
    <w:rsid w:val="009D3653"/>
    <w:rsid w:val="009D3EF9"/>
    <w:rsid w:val="009D5F15"/>
    <w:rsid w:val="009E1C3A"/>
    <w:rsid w:val="009E3105"/>
    <w:rsid w:val="009E5F03"/>
    <w:rsid w:val="009E6A91"/>
    <w:rsid w:val="009E7E4A"/>
    <w:rsid w:val="009F1C81"/>
    <w:rsid w:val="009F271F"/>
    <w:rsid w:val="009F6019"/>
    <w:rsid w:val="009F7F24"/>
    <w:rsid w:val="00A05A51"/>
    <w:rsid w:val="00A11162"/>
    <w:rsid w:val="00A11524"/>
    <w:rsid w:val="00A13067"/>
    <w:rsid w:val="00A21A86"/>
    <w:rsid w:val="00A23470"/>
    <w:rsid w:val="00A24A8B"/>
    <w:rsid w:val="00A27D77"/>
    <w:rsid w:val="00A331AB"/>
    <w:rsid w:val="00A3662D"/>
    <w:rsid w:val="00A4700F"/>
    <w:rsid w:val="00A517BE"/>
    <w:rsid w:val="00A5288D"/>
    <w:rsid w:val="00A52FF4"/>
    <w:rsid w:val="00A53816"/>
    <w:rsid w:val="00A54781"/>
    <w:rsid w:val="00A55B51"/>
    <w:rsid w:val="00A56FAF"/>
    <w:rsid w:val="00A61E31"/>
    <w:rsid w:val="00A63D16"/>
    <w:rsid w:val="00A64417"/>
    <w:rsid w:val="00A652A3"/>
    <w:rsid w:val="00A76629"/>
    <w:rsid w:val="00A768F5"/>
    <w:rsid w:val="00A8348D"/>
    <w:rsid w:val="00A9372F"/>
    <w:rsid w:val="00A93F07"/>
    <w:rsid w:val="00A9471C"/>
    <w:rsid w:val="00A95202"/>
    <w:rsid w:val="00A9773A"/>
    <w:rsid w:val="00A97F0A"/>
    <w:rsid w:val="00AA19FE"/>
    <w:rsid w:val="00AB0810"/>
    <w:rsid w:val="00AB0EB2"/>
    <w:rsid w:val="00AB4172"/>
    <w:rsid w:val="00AB51A1"/>
    <w:rsid w:val="00AB647C"/>
    <w:rsid w:val="00AB64C3"/>
    <w:rsid w:val="00AB6955"/>
    <w:rsid w:val="00AC0AE8"/>
    <w:rsid w:val="00AC4EDB"/>
    <w:rsid w:val="00AC783B"/>
    <w:rsid w:val="00AC7F88"/>
    <w:rsid w:val="00AD0997"/>
    <w:rsid w:val="00AD1C94"/>
    <w:rsid w:val="00AD4EE8"/>
    <w:rsid w:val="00AD5081"/>
    <w:rsid w:val="00AE3316"/>
    <w:rsid w:val="00AE4AFA"/>
    <w:rsid w:val="00AE7970"/>
    <w:rsid w:val="00AF2951"/>
    <w:rsid w:val="00AF4ABA"/>
    <w:rsid w:val="00AF76C0"/>
    <w:rsid w:val="00B03092"/>
    <w:rsid w:val="00B06422"/>
    <w:rsid w:val="00B06D3D"/>
    <w:rsid w:val="00B10C0C"/>
    <w:rsid w:val="00B12596"/>
    <w:rsid w:val="00B139C5"/>
    <w:rsid w:val="00B14CE4"/>
    <w:rsid w:val="00B25212"/>
    <w:rsid w:val="00B277EA"/>
    <w:rsid w:val="00B32F00"/>
    <w:rsid w:val="00B34D72"/>
    <w:rsid w:val="00B41F2C"/>
    <w:rsid w:val="00B45F65"/>
    <w:rsid w:val="00B4646D"/>
    <w:rsid w:val="00B52C8A"/>
    <w:rsid w:val="00B52D0D"/>
    <w:rsid w:val="00B52F36"/>
    <w:rsid w:val="00B55B40"/>
    <w:rsid w:val="00B55D2A"/>
    <w:rsid w:val="00B63B45"/>
    <w:rsid w:val="00B6478A"/>
    <w:rsid w:val="00B64B97"/>
    <w:rsid w:val="00B650DF"/>
    <w:rsid w:val="00B6560F"/>
    <w:rsid w:val="00B673A4"/>
    <w:rsid w:val="00B7546A"/>
    <w:rsid w:val="00B7574F"/>
    <w:rsid w:val="00B76892"/>
    <w:rsid w:val="00B77C93"/>
    <w:rsid w:val="00B80EAA"/>
    <w:rsid w:val="00B8171E"/>
    <w:rsid w:val="00B83D87"/>
    <w:rsid w:val="00B8403E"/>
    <w:rsid w:val="00B87928"/>
    <w:rsid w:val="00B96388"/>
    <w:rsid w:val="00BA0612"/>
    <w:rsid w:val="00BA14A7"/>
    <w:rsid w:val="00BA1570"/>
    <w:rsid w:val="00BA174E"/>
    <w:rsid w:val="00BA4B31"/>
    <w:rsid w:val="00BA4CB9"/>
    <w:rsid w:val="00BA62C2"/>
    <w:rsid w:val="00BB3994"/>
    <w:rsid w:val="00BB51CD"/>
    <w:rsid w:val="00BB69CF"/>
    <w:rsid w:val="00BC317E"/>
    <w:rsid w:val="00BC45B7"/>
    <w:rsid w:val="00BC4D7E"/>
    <w:rsid w:val="00BD3324"/>
    <w:rsid w:val="00BD3B36"/>
    <w:rsid w:val="00BE1A49"/>
    <w:rsid w:val="00BE4ED4"/>
    <w:rsid w:val="00BE6FC2"/>
    <w:rsid w:val="00BF391C"/>
    <w:rsid w:val="00BF560F"/>
    <w:rsid w:val="00BF5D4D"/>
    <w:rsid w:val="00C00EC5"/>
    <w:rsid w:val="00C0327E"/>
    <w:rsid w:val="00C0699F"/>
    <w:rsid w:val="00C07BF5"/>
    <w:rsid w:val="00C11896"/>
    <w:rsid w:val="00C12E83"/>
    <w:rsid w:val="00C15843"/>
    <w:rsid w:val="00C16BA3"/>
    <w:rsid w:val="00C24E91"/>
    <w:rsid w:val="00C2579D"/>
    <w:rsid w:val="00C26A6F"/>
    <w:rsid w:val="00C26EFC"/>
    <w:rsid w:val="00C300C8"/>
    <w:rsid w:val="00C317A1"/>
    <w:rsid w:val="00C35E52"/>
    <w:rsid w:val="00C36115"/>
    <w:rsid w:val="00C4198E"/>
    <w:rsid w:val="00C41ECF"/>
    <w:rsid w:val="00C42C68"/>
    <w:rsid w:val="00C43301"/>
    <w:rsid w:val="00C4630A"/>
    <w:rsid w:val="00C468D2"/>
    <w:rsid w:val="00C476C9"/>
    <w:rsid w:val="00C54A3B"/>
    <w:rsid w:val="00C60F54"/>
    <w:rsid w:val="00C6154D"/>
    <w:rsid w:val="00C61924"/>
    <w:rsid w:val="00C659DA"/>
    <w:rsid w:val="00C65FD7"/>
    <w:rsid w:val="00C6660C"/>
    <w:rsid w:val="00C6660F"/>
    <w:rsid w:val="00C67A1C"/>
    <w:rsid w:val="00C75800"/>
    <w:rsid w:val="00C774B4"/>
    <w:rsid w:val="00C77E24"/>
    <w:rsid w:val="00C77FCC"/>
    <w:rsid w:val="00C82F1D"/>
    <w:rsid w:val="00C855A8"/>
    <w:rsid w:val="00C85E87"/>
    <w:rsid w:val="00C91006"/>
    <w:rsid w:val="00C92333"/>
    <w:rsid w:val="00C95306"/>
    <w:rsid w:val="00C966FB"/>
    <w:rsid w:val="00CA4209"/>
    <w:rsid w:val="00CA5A9A"/>
    <w:rsid w:val="00CA6D33"/>
    <w:rsid w:val="00CB1651"/>
    <w:rsid w:val="00CB20AB"/>
    <w:rsid w:val="00CB5DB7"/>
    <w:rsid w:val="00CC2842"/>
    <w:rsid w:val="00CC3242"/>
    <w:rsid w:val="00CC3462"/>
    <w:rsid w:val="00CC48BD"/>
    <w:rsid w:val="00CC53D4"/>
    <w:rsid w:val="00CC7E34"/>
    <w:rsid w:val="00CD25CC"/>
    <w:rsid w:val="00CD5ADE"/>
    <w:rsid w:val="00CD7A01"/>
    <w:rsid w:val="00CE03C3"/>
    <w:rsid w:val="00CE17E9"/>
    <w:rsid w:val="00CF100F"/>
    <w:rsid w:val="00CF1B35"/>
    <w:rsid w:val="00CF54A1"/>
    <w:rsid w:val="00CF7346"/>
    <w:rsid w:val="00CF7C3B"/>
    <w:rsid w:val="00D03E0D"/>
    <w:rsid w:val="00D07387"/>
    <w:rsid w:val="00D10204"/>
    <w:rsid w:val="00D11204"/>
    <w:rsid w:val="00D116DF"/>
    <w:rsid w:val="00D1335A"/>
    <w:rsid w:val="00D17DD6"/>
    <w:rsid w:val="00D21351"/>
    <w:rsid w:val="00D23C4A"/>
    <w:rsid w:val="00D25A9D"/>
    <w:rsid w:val="00D26424"/>
    <w:rsid w:val="00D333A5"/>
    <w:rsid w:val="00D355F9"/>
    <w:rsid w:val="00D377D5"/>
    <w:rsid w:val="00D43F75"/>
    <w:rsid w:val="00D450C5"/>
    <w:rsid w:val="00D4510F"/>
    <w:rsid w:val="00D50A51"/>
    <w:rsid w:val="00D5246F"/>
    <w:rsid w:val="00D537F1"/>
    <w:rsid w:val="00D54BC2"/>
    <w:rsid w:val="00D55D0E"/>
    <w:rsid w:val="00D57257"/>
    <w:rsid w:val="00D65481"/>
    <w:rsid w:val="00D654EE"/>
    <w:rsid w:val="00D656AC"/>
    <w:rsid w:val="00D6577F"/>
    <w:rsid w:val="00D7099C"/>
    <w:rsid w:val="00D72F37"/>
    <w:rsid w:val="00D748C5"/>
    <w:rsid w:val="00D77892"/>
    <w:rsid w:val="00D81EC5"/>
    <w:rsid w:val="00D8430B"/>
    <w:rsid w:val="00D86566"/>
    <w:rsid w:val="00D879CB"/>
    <w:rsid w:val="00D90BD6"/>
    <w:rsid w:val="00D9374B"/>
    <w:rsid w:val="00D94FDD"/>
    <w:rsid w:val="00D95462"/>
    <w:rsid w:val="00D9668C"/>
    <w:rsid w:val="00DA1541"/>
    <w:rsid w:val="00DA447D"/>
    <w:rsid w:val="00DA6C87"/>
    <w:rsid w:val="00DA7489"/>
    <w:rsid w:val="00DA7A11"/>
    <w:rsid w:val="00DA7A26"/>
    <w:rsid w:val="00DA7DB2"/>
    <w:rsid w:val="00DB187F"/>
    <w:rsid w:val="00DB4790"/>
    <w:rsid w:val="00DB56AE"/>
    <w:rsid w:val="00DB66C4"/>
    <w:rsid w:val="00DB717F"/>
    <w:rsid w:val="00DC12BD"/>
    <w:rsid w:val="00DC14B0"/>
    <w:rsid w:val="00DC15CD"/>
    <w:rsid w:val="00DC3081"/>
    <w:rsid w:val="00DC4564"/>
    <w:rsid w:val="00DC7980"/>
    <w:rsid w:val="00DD2BC0"/>
    <w:rsid w:val="00DD2F6F"/>
    <w:rsid w:val="00DD5EFD"/>
    <w:rsid w:val="00DE1E51"/>
    <w:rsid w:val="00DE24A0"/>
    <w:rsid w:val="00DE37ED"/>
    <w:rsid w:val="00DE392A"/>
    <w:rsid w:val="00DE5AA2"/>
    <w:rsid w:val="00DE6596"/>
    <w:rsid w:val="00DE7DC3"/>
    <w:rsid w:val="00DE7DFC"/>
    <w:rsid w:val="00DF0780"/>
    <w:rsid w:val="00DF2AA3"/>
    <w:rsid w:val="00DF35DB"/>
    <w:rsid w:val="00DF3740"/>
    <w:rsid w:val="00DF587B"/>
    <w:rsid w:val="00DF5E6D"/>
    <w:rsid w:val="00E00F7B"/>
    <w:rsid w:val="00E0222F"/>
    <w:rsid w:val="00E1425A"/>
    <w:rsid w:val="00E152FC"/>
    <w:rsid w:val="00E17EB4"/>
    <w:rsid w:val="00E25F8B"/>
    <w:rsid w:val="00E27885"/>
    <w:rsid w:val="00E32A8A"/>
    <w:rsid w:val="00E370BE"/>
    <w:rsid w:val="00E407AF"/>
    <w:rsid w:val="00E422E4"/>
    <w:rsid w:val="00E43874"/>
    <w:rsid w:val="00E45DE1"/>
    <w:rsid w:val="00E50022"/>
    <w:rsid w:val="00E644B7"/>
    <w:rsid w:val="00E65049"/>
    <w:rsid w:val="00E655B2"/>
    <w:rsid w:val="00E65E1F"/>
    <w:rsid w:val="00E70539"/>
    <w:rsid w:val="00E70834"/>
    <w:rsid w:val="00E74EFF"/>
    <w:rsid w:val="00E76216"/>
    <w:rsid w:val="00E76374"/>
    <w:rsid w:val="00E82EDD"/>
    <w:rsid w:val="00E83826"/>
    <w:rsid w:val="00E855DD"/>
    <w:rsid w:val="00E85748"/>
    <w:rsid w:val="00E87CA6"/>
    <w:rsid w:val="00E91448"/>
    <w:rsid w:val="00E9180D"/>
    <w:rsid w:val="00E91DAD"/>
    <w:rsid w:val="00E91FA6"/>
    <w:rsid w:val="00E936FE"/>
    <w:rsid w:val="00E97D00"/>
    <w:rsid w:val="00EA767D"/>
    <w:rsid w:val="00EB0B1D"/>
    <w:rsid w:val="00EB1479"/>
    <w:rsid w:val="00EB2C2A"/>
    <w:rsid w:val="00EB3C3D"/>
    <w:rsid w:val="00EB5F47"/>
    <w:rsid w:val="00EC01D4"/>
    <w:rsid w:val="00EC304A"/>
    <w:rsid w:val="00EC3F3C"/>
    <w:rsid w:val="00EC4016"/>
    <w:rsid w:val="00EC555C"/>
    <w:rsid w:val="00EC7822"/>
    <w:rsid w:val="00ED03B9"/>
    <w:rsid w:val="00ED5D63"/>
    <w:rsid w:val="00EE0D71"/>
    <w:rsid w:val="00EE1C09"/>
    <w:rsid w:val="00EE4133"/>
    <w:rsid w:val="00EE5D06"/>
    <w:rsid w:val="00EF0422"/>
    <w:rsid w:val="00EF0E6D"/>
    <w:rsid w:val="00EF19D4"/>
    <w:rsid w:val="00EF571C"/>
    <w:rsid w:val="00EF6E11"/>
    <w:rsid w:val="00F0225A"/>
    <w:rsid w:val="00F02CC5"/>
    <w:rsid w:val="00F036CE"/>
    <w:rsid w:val="00F062EF"/>
    <w:rsid w:val="00F105FE"/>
    <w:rsid w:val="00F121ED"/>
    <w:rsid w:val="00F1363C"/>
    <w:rsid w:val="00F13E9A"/>
    <w:rsid w:val="00F14B56"/>
    <w:rsid w:val="00F155B4"/>
    <w:rsid w:val="00F15B70"/>
    <w:rsid w:val="00F1716A"/>
    <w:rsid w:val="00F2371D"/>
    <w:rsid w:val="00F2449B"/>
    <w:rsid w:val="00F258F5"/>
    <w:rsid w:val="00F26045"/>
    <w:rsid w:val="00F36DEC"/>
    <w:rsid w:val="00F37686"/>
    <w:rsid w:val="00F42F0D"/>
    <w:rsid w:val="00F51B04"/>
    <w:rsid w:val="00F51C4E"/>
    <w:rsid w:val="00F63C56"/>
    <w:rsid w:val="00F7051C"/>
    <w:rsid w:val="00F706AA"/>
    <w:rsid w:val="00F804EE"/>
    <w:rsid w:val="00F80EE8"/>
    <w:rsid w:val="00F8387A"/>
    <w:rsid w:val="00F842CD"/>
    <w:rsid w:val="00F85953"/>
    <w:rsid w:val="00F85C40"/>
    <w:rsid w:val="00F862BA"/>
    <w:rsid w:val="00F8658D"/>
    <w:rsid w:val="00F905A8"/>
    <w:rsid w:val="00F90B83"/>
    <w:rsid w:val="00F948A8"/>
    <w:rsid w:val="00F953B6"/>
    <w:rsid w:val="00F95761"/>
    <w:rsid w:val="00F959B8"/>
    <w:rsid w:val="00F97BBC"/>
    <w:rsid w:val="00FA2E6F"/>
    <w:rsid w:val="00FA3855"/>
    <w:rsid w:val="00FA4D25"/>
    <w:rsid w:val="00FA58EF"/>
    <w:rsid w:val="00FA5C20"/>
    <w:rsid w:val="00FA747D"/>
    <w:rsid w:val="00FB0EA5"/>
    <w:rsid w:val="00FB109C"/>
    <w:rsid w:val="00FB13DA"/>
    <w:rsid w:val="00FB1D61"/>
    <w:rsid w:val="00FB35CD"/>
    <w:rsid w:val="00FB6244"/>
    <w:rsid w:val="00FB7A0C"/>
    <w:rsid w:val="00FC0F49"/>
    <w:rsid w:val="00FC601A"/>
    <w:rsid w:val="00FD6550"/>
    <w:rsid w:val="00FD6D74"/>
    <w:rsid w:val="00FD79C7"/>
    <w:rsid w:val="00FE2491"/>
    <w:rsid w:val="00FE5891"/>
    <w:rsid w:val="00FF0AA0"/>
    <w:rsid w:val="00FF1DBC"/>
    <w:rsid w:val="00FF33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D3A55"/>
  <w15:chartTrackingRefBased/>
  <w15:docId w15:val="{95C1DA26-34B2-4A77-AF4B-096C42D3F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 text"/>
    <w:basedOn w:val="Normal"/>
    <w:uiPriority w:val="99"/>
    <w:rsid w:val="00945294"/>
    <w:pPr>
      <w:tabs>
        <w:tab w:val="left" w:pos="240"/>
      </w:tabs>
      <w:autoSpaceDE w:val="0"/>
      <w:autoSpaceDN w:val="0"/>
      <w:adjustRightInd w:val="0"/>
      <w:spacing w:after="60" w:line="272" w:lineRule="atLeast"/>
      <w:ind w:firstLine="340"/>
    </w:pPr>
    <w:rPr>
      <w:rFonts w:ascii="Times New Roman" w:hAnsi="Times New Roman" w:cs="Times New Roman"/>
      <w:color w:val="000000"/>
    </w:rPr>
  </w:style>
  <w:style w:type="character" w:styleId="Hyperlink">
    <w:name w:val="Hyperlink"/>
    <w:basedOn w:val="DefaultParagraphFont"/>
    <w:uiPriority w:val="99"/>
    <w:unhideWhenUsed/>
    <w:rsid w:val="0056442E"/>
    <w:rPr>
      <w:color w:val="0563C1" w:themeColor="hyperlink"/>
      <w:u w:val="single"/>
    </w:rPr>
  </w:style>
  <w:style w:type="paragraph" w:styleId="ListParagraph">
    <w:name w:val="List Paragraph"/>
    <w:basedOn w:val="Normal"/>
    <w:uiPriority w:val="34"/>
    <w:qFormat/>
    <w:rsid w:val="00B277EA"/>
    <w:pPr>
      <w:ind w:left="720"/>
      <w:contextualSpacing/>
    </w:pPr>
  </w:style>
  <w:style w:type="character" w:styleId="Emphasis">
    <w:name w:val="Emphasis"/>
    <w:basedOn w:val="DefaultParagraphFont"/>
    <w:uiPriority w:val="20"/>
    <w:qFormat/>
    <w:rsid w:val="00AF76C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60992">
      <w:bodyDiv w:val="1"/>
      <w:marLeft w:val="0"/>
      <w:marRight w:val="0"/>
      <w:marTop w:val="0"/>
      <w:marBottom w:val="0"/>
      <w:divBdr>
        <w:top w:val="none" w:sz="0" w:space="0" w:color="auto"/>
        <w:left w:val="none" w:sz="0" w:space="0" w:color="auto"/>
        <w:bottom w:val="none" w:sz="0" w:space="0" w:color="auto"/>
        <w:right w:val="none" w:sz="0" w:space="0" w:color="auto"/>
      </w:divBdr>
    </w:div>
    <w:div w:id="298462258">
      <w:bodyDiv w:val="1"/>
      <w:marLeft w:val="0"/>
      <w:marRight w:val="0"/>
      <w:marTop w:val="0"/>
      <w:marBottom w:val="0"/>
      <w:divBdr>
        <w:top w:val="none" w:sz="0" w:space="0" w:color="auto"/>
        <w:left w:val="none" w:sz="0" w:space="0" w:color="auto"/>
        <w:bottom w:val="none" w:sz="0" w:space="0" w:color="auto"/>
        <w:right w:val="none" w:sz="0" w:space="0" w:color="auto"/>
      </w:divBdr>
    </w:div>
    <w:div w:id="307711000">
      <w:bodyDiv w:val="1"/>
      <w:marLeft w:val="0"/>
      <w:marRight w:val="0"/>
      <w:marTop w:val="0"/>
      <w:marBottom w:val="0"/>
      <w:divBdr>
        <w:top w:val="none" w:sz="0" w:space="0" w:color="auto"/>
        <w:left w:val="none" w:sz="0" w:space="0" w:color="auto"/>
        <w:bottom w:val="none" w:sz="0" w:space="0" w:color="auto"/>
        <w:right w:val="none" w:sz="0" w:space="0" w:color="auto"/>
      </w:divBdr>
    </w:div>
    <w:div w:id="311838357">
      <w:bodyDiv w:val="1"/>
      <w:marLeft w:val="0"/>
      <w:marRight w:val="0"/>
      <w:marTop w:val="0"/>
      <w:marBottom w:val="0"/>
      <w:divBdr>
        <w:top w:val="none" w:sz="0" w:space="0" w:color="auto"/>
        <w:left w:val="none" w:sz="0" w:space="0" w:color="auto"/>
        <w:bottom w:val="none" w:sz="0" w:space="0" w:color="auto"/>
        <w:right w:val="none" w:sz="0" w:space="0" w:color="auto"/>
      </w:divBdr>
    </w:div>
    <w:div w:id="473714426">
      <w:bodyDiv w:val="1"/>
      <w:marLeft w:val="0"/>
      <w:marRight w:val="0"/>
      <w:marTop w:val="0"/>
      <w:marBottom w:val="0"/>
      <w:divBdr>
        <w:top w:val="none" w:sz="0" w:space="0" w:color="auto"/>
        <w:left w:val="none" w:sz="0" w:space="0" w:color="auto"/>
        <w:bottom w:val="none" w:sz="0" w:space="0" w:color="auto"/>
        <w:right w:val="none" w:sz="0" w:space="0" w:color="auto"/>
      </w:divBdr>
    </w:div>
    <w:div w:id="634992489">
      <w:bodyDiv w:val="1"/>
      <w:marLeft w:val="0"/>
      <w:marRight w:val="0"/>
      <w:marTop w:val="0"/>
      <w:marBottom w:val="0"/>
      <w:divBdr>
        <w:top w:val="none" w:sz="0" w:space="0" w:color="auto"/>
        <w:left w:val="none" w:sz="0" w:space="0" w:color="auto"/>
        <w:bottom w:val="none" w:sz="0" w:space="0" w:color="auto"/>
        <w:right w:val="none" w:sz="0" w:space="0" w:color="auto"/>
      </w:divBdr>
    </w:div>
    <w:div w:id="637031498">
      <w:bodyDiv w:val="1"/>
      <w:marLeft w:val="0"/>
      <w:marRight w:val="0"/>
      <w:marTop w:val="0"/>
      <w:marBottom w:val="0"/>
      <w:divBdr>
        <w:top w:val="none" w:sz="0" w:space="0" w:color="auto"/>
        <w:left w:val="none" w:sz="0" w:space="0" w:color="auto"/>
        <w:bottom w:val="none" w:sz="0" w:space="0" w:color="auto"/>
        <w:right w:val="none" w:sz="0" w:space="0" w:color="auto"/>
      </w:divBdr>
      <w:divsChild>
        <w:div w:id="549345311">
          <w:marLeft w:val="0"/>
          <w:marRight w:val="0"/>
          <w:marTop w:val="0"/>
          <w:marBottom w:val="0"/>
          <w:divBdr>
            <w:top w:val="none" w:sz="0" w:space="0" w:color="auto"/>
            <w:left w:val="none" w:sz="0" w:space="0" w:color="auto"/>
            <w:bottom w:val="none" w:sz="0" w:space="0" w:color="auto"/>
            <w:right w:val="none" w:sz="0" w:space="0" w:color="auto"/>
          </w:divBdr>
          <w:divsChild>
            <w:div w:id="1342708088">
              <w:marLeft w:val="0"/>
              <w:marRight w:val="0"/>
              <w:marTop w:val="0"/>
              <w:marBottom w:val="0"/>
              <w:divBdr>
                <w:top w:val="none" w:sz="0" w:space="0" w:color="auto"/>
                <w:left w:val="none" w:sz="0" w:space="0" w:color="auto"/>
                <w:bottom w:val="none" w:sz="0" w:space="0" w:color="auto"/>
                <w:right w:val="none" w:sz="0" w:space="0" w:color="auto"/>
              </w:divBdr>
              <w:divsChild>
                <w:div w:id="149437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646586">
          <w:marLeft w:val="0"/>
          <w:marRight w:val="0"/>
          <w:marTop w:val="0"/>
          <w:marBottom w:val="0"/>
          <w:divBdr>
            <w:top w:val="none" w:sz="0" w:space="0" w:color="auto"/>
            <w:left w:val="none" w:sz="0" w:space="0" w:color="auto"/>
            <w:bottom w:val="none" w:sz="0" w:space="0" w:color="auto"/>
            <w:right w:val="none" w:sz="0" w:space="0" w:color="auto"/>
          </w:divBdr>
          <w:divsChild>
            <w:div w:id="1014575502">
              <w:marLeft w:val="0"/>
              <w:marRight w:val="0"/>
              <w:marTop w:val="0"/>
              <w:marBottom w:val="0"/>
              <w:divBdr>
                <w:top w:val="none" w:sz="0" w:space="0" w:color="auto"/>
                <w:left w:val="none" w:sz="0" w:space="0" w:color="auto"/>
                <w:bottom w:val="none" w:sz="0" w:space="0" w:color="auto"/>
                <w:right w:val="none" w:sz="0" w:space="0" w:color="auto"/>
              </w:divBdr>
              <w:divsChild>
                <w:div w:id="2074739127">
                  <w:marLeft w:val="-690"/>
                  <w:marRight w:val="150"/>
                  <w:marTop w:val="0"/>
                  <w:marBottom w:val="0"/>
                  <w:divBdr>
                    <w:top w:val="none" w:sz="0" w:space="0" w:color="auto"/>
                    <w:left w:val="none" w:sz="0" w:space="0" w:color="auto"/>
                    <w:bottom w:val="none" w:sz="0" w:space="0" w:color="auto"/>
                    <w:right w:val="none" w:sz="0" w:space="0" w:color="auto"/>
                  </w:divBdr>
                </w:div>
                <w:div w:id="280841116">
                  <w:marLeft w:val="0"/>
                  <w:marRight w:val="0"/>
                  <w:marTop w:val="0"/>
                  <w:marBottom w:val="0"/>
                  <w:divBdr>
                    <w:top w:val="none" w:sz="0" w:space="0" w:color="auto"/>
                    <w:left w:val="none" w:sz="0" w:space="0" w:color="auto"/>
                    <w:bottom w:val="none" w:sz="0" w:space="0" w:color="auto"/>
                    <w:right w:val="none" w:sz="0" w:space="0" w:color="auto"/>
                  </w:divBdr>
                </w:div>
                <w:div w:id="8517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0157885">
      <w:bodyDiv w:val="1"/>
      <w:marLeft w:val="0"/>
      <w:marRight w:val="0"/>
      <w:marTop w:val="0"/>
      <w:marBottom w:val="0"/>
      <w:divBdr>
        <w:top w:val="none" w:sz="0" w:space="0" w:color="auto"/>
        <w:left w:val="none" w:sz="0" w:space="0" w:color="auto"/>
        <w:bottom w:val="none" w:sz="0" w:space="0" w:color="auto"/>
        <w:right w:val="none" w:sz="0" w:space="0" w:color="auto"/>
      </w:divBdr>
    </w:div>
    <w:div w:id="1011103438">
      <w:bodyDiv w:val="1"/>
      <w:marLeft w:val="0"/>
      <w:marRight w:val="0"/>
      <w:marTop w:val="0"/>
      <w:marBottom w:val="0"/>
      <w:divBdr>
        <w:top w:val="none" w:sz="0" w:space="0" w:color="auto"/>
        <w:left w:val="none" w:sz="0" w:space="0" w:color="auto"/>
        <w:bottom w:val="none" w:sz="0" w:space="0" w:color="auto"/>
        <w:right w:val="none" w:sz="0" w:space="0" w:color="auto"/>
      </w:divBdr>
      <w:divsChild>
        <w:div w:id="1375538795">
          <w:marLeft w:val="0"/>
          <w:marRight w:val="0"/>
          <w:marTop w:val="0"/>
          <w:marBottom w:val="0"/>
          <w:divBdr>
            <w:top w:val="none" w:sz="0" w:space="0" w:color="auto"/>
            <w:left w:val="none" w:sz="0" w:space="0" w:color="auto"/>
            <w:bottom w:val="none" w:sz="0" w:space="0" w:color="auto"/>
            <w:right w:val="none" w:sz="0" w:space="0" w:color="auto"/>
          </w:divBdr>
          <w:divsChild>
            <w:div w:id="1538004685">
              <w:marLeft w:val="0"/>
              <w:marRight w:val="0"/>
              <w:marTop w:val="0"/>
              <w:marBottom w:val="0"/>
              <w:divBdr>
                <w:top w:val="none" w:sz="0" w:space="0" w:color="auto"/>
                <w:left w:val="none" w:sz="0" w:space="0" w:color="auto"/>
                <w:bottom w:val="none" w:sz="0" w:space="0" w:color="auto"/>
                <w:right w:val="none" w:sz="0" w:space="0" w:color="auto"/>
              </w:divBdr>
              <w:divsChild>
                <w:div w:id="2135633029">
                  <w:marLeft w:val="0"/>
                  <w:marRight w:val="0"/>
                  <w:marTop w:val="0"/>
                  <w:marBottom w:val="0"/>
                  <w:divBdr>
                    <w:top w:val="none" w:sz="0" w:space="0" w:color="auto"/>
                    <w:left w:val="none" w:sz="0" w:space="0" w:color="auto"/>
                    <w:bottom w:val="none" w:sz="0" w:space="0" w:color="auto"/>
                    <w:right w:val="none" w:sz="0" w:space="0" w:color="auto"/>
                  </w:divBdr>
                  <w:divsChild>
                    <w:div w:id="170031392">
                      <w:marLeft w:val="0"/>
                      <w:marRight w:val="0"/>
                      <w:marTop w:val="0"/>
                      <w:marBottom w:val="0"/>
                      <w:divBdr>
                        <w:top w:val="none" w:sz="0" w:space="0" w:color="auto"/>
                        <w:left w:val="none" w:sz="0" w:space="0" w:color="auto"/>
                        <w:bottom w:val="none" w:sz="0" w:space="0" w:color="auto"/>
                        <w:right w:val="none" w:sz="0" w:space="0" w:color="auto"/>
                      </w:divBdr>
                      <w:divsChild>
                        <w:div w:id="1166047850">
                          <w:marLeft w:val="0"/>
                          <w:marRight w:val="0"/>
                          <w:marTop w:val="0"/>
                          <w:marBottom w:val="0"/>
                          <w:divBdr>
                            <w:top w:val="none" w:sz="0" w:space="0" w:color="auto"/>
                            <w:left w:val="none" w:sz="0" w:space="0" w:color="auto"/>
                            <w:bottom w:val="none" w:sz="0" w:space="0" w:color="auto"/>
                            <w:right w:val="none" w:sz="0" w:space="0" w:color="auto"/>
                          </w:divBdr>
                          <w:divsChild>
                            <w:div w:id="635451631">
                              <w:marLeft w:val="0"/>
                              <w:marRight w:val="0"/>
                              <w:marTop w:val="0"/>
                              <w:marBottom w:val="0"/>
                              <w:divBdr>
                                <w:top w:val="none" w:sz="0" w:space="0" w:color="auto"/>
                                <w:left w:val="none" w:sz="0" w:space="0" w:color="auto"/>
                                <w:bottom w:val="none" w:sz="0" w:space="0" w:color="auto"/>
                                <w:right w:val="none" w:sz="0" w:space="0" w:color="auto"/>
                              </w:divBdr>
                              <w:divsChild>
                                <w:div w:id="1446995546">
                                  <w:marLeft w:val="0"/>
                                  <w:marRight w:val="0"/>
                                  <w:marTop w:val="0"/>
                                  <w:marBottom w:val="0"/>
                                  <w:divBdr>
                                    <w:top w:val="none" w:sz="0" w:space="0" w:color="auto"/>
                                    <w:left w:val="none" w:sz="0" w:space="0" w:color="auto"/>
                                    <w:bottom w:val="none" w:sz="0" w:space="0" w:color="auto"/>
                                    <w:right w:val="none" w:sz="0" w:space="0" w:color="auto"/>
                                  </w:divBdr>
                                  <w:divsChild>
                                    <w:div w:id="929461902">
                                      <w:marLeft w:val="0"/>
                                      <w:marRight w:val="0"/>
                                      <w:marTop w:val="0"/>
                                      <w:marBottom w:val="0"/>
                                      <w:divBdr>
                                        <w:top w:val="single" w:sz="6" w:space="0" w:color="38444D"/>
                                        <w:left w:val="single" w:sz="6" w:space="0" w:color="38444D"/>
                                        <w:bottom w:val="single" w:sz="6" w:space="0" w:color="38444D"/>
                                        <w:right w:val="single" w:sz="6" w:space="0" w:color="38444D"/>
                                      </w:divBdr>
                                      <w:divsChild>
                                        <w:div w:id="954798194">
                                          <w:marLeft w:val="0"/>
                                          <w:marRight w:val="0"/>
                                          <w:marTop w:val="0"/>
                                          <w:marBottom w:val="0"/>
                                          <w:divBdr>
                                            <w:top w:val="single" w:sz="2" w:space="0" w:color="000000"/>
                                            <w:left w:val="single" w:sz="2" w:space="0" w:color="000000"/>
                                            <w:bottom w:val="single" w:sz="6" w:space="0" w:color="38444D"/>
                                            <w:right w:val="single" w:sz="2" w:space="0" w:color="000000"/>
                                          </w:divBdr>
                                          <w:divsChild>
                                            <w:div w:id="1628002175">
                                              <w:marLeft w:val="0"/>
                                              <w:marRight w:val="0"/>
                                              <w:marTop w:val="0"/>
                                              <w:marBottom w:val="0"/>
                                              <w:divBdr>
                                                <w:top w:val="single" w:sz="2" w:space="0" w:color="000000"/>
                                                <w:left w:val="single" w:sz="2" w:space="0" w:color="000000"/>
                                                <w:bottom w:val="single" w:sz="2" w:space="0" w:color="000000"/>
                                                <w:right w:val="single" w:sz="2" w:space="0" w:color="000000"/>
                                              </w:divBdr>
                                              <w:divsChild>
                                                <w:div w:id="1623418523">
                                                  <w:marLeft w:val="0"/>
                                                  <w:marRight w:val="0"/>
                                                  <w:marTop w:val="0"/>
                                                  <w:marBottom w:val="0"/>
                                                  <w:divBdr>
                                                    <w:top w:val="single" w:sz="2" w:space="0" w:color="000000"/>
                                                    <w:left w:val="single" w:sz="2" w:space="0" w:color="000000"/>
                                                    <w:bottom w:val="single" w:sz="2" w:space="0" w:color="000000"/>
                                                    <w:right w:val="single" w:sz="2" w:space="0" w:color="000000"/>
                                                  </w:divBdr>
                                                  <w:divsChild>
                                                    <w:div w:id="1321425378">
                                                      <w:marLeft w:val="0"/>
                                                      <w:marRight w:val="0"/>
                                                      <w:marTop w:val="0"/>
                                                      <w:marBottom w:val="0"/>
                                                      <w:divBdr>
                                                        <w:top w:val="none" w:sz="0" w:space="0" w:color="auto"/>
                                                        <w:left w:val="none" w:sz="0" w:space="0" w:color="auto"/>
                                                        <w:bottom w:val="none" w:sz="0" w:space="0" w:color="auto"/>
                                                        <w:right w:val="none" w:sz="0" w:space="0" w:color="auto"/>
                                                      </w:divBdr>
                                                      <w:divsChild>
                                                        <w:div w:id="82655545">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 w:id="327631968">
                                          <w:marLeft w:val="0"/>
                                          <w:marRight w:val="0"/>
                                          <w:marTop w:val="0"/>
                                          <w:marBottom w:val="0"/>
                                          <w:divBdr>
                                            <w:top w:val="single" w:sz="2" w:space="0" w:color="000000"/>
                                            <w:left w:val="single" w:sz="2" w:space="0" w:color="000000"/>
                                            <w:bottom w:val="single" w:sz="2" w:space="0" w:color="000000"/>
                                            <w:right w:val="single" w:sz="2" w:space="0" w:color="000000"/>
                                          </w:divBdr>
                                          <w:divsChild>
                                            <w:div w:id="175074319">
                                              <w:marLeft w:val="0"/>
                                              <w:marRight w:val="0"/>
                                              <w:marTop w:val="0"/>
                                              <w:marBottom w:val="0"/>
                                              <w:divBdr>
                                                <w:top w:val="single" w:sz="2" w:space="7" w:color="000000"/>
                                                <w:left w:val="single" w:sz="2" w:space="7" w:color="000000"/>
                                                <w:bottom w:val="single" w:sz="2" w:space="7" w:color="000000"/>
                                                <w:right w:val="single" w:sz="2" w:space="7" w:color="000000"/>
                                              </w:divBdr>
                                              <w:divsChild>
                                                <w:div w:id="957613364">
                                                  <w:marLeft w:val="0"/>
                                                  <w:marRight w:val="0"/>
                                                  <w:marTop w:val="0"/>
                                                  <w:marBottom w:val="30"/>
                                                  <w:divBdr>
                                                    <w:top w:val="single" w:sz="2" w:space="0" w:color="000000"/>
                                                    <w:left w:val="single" w:sz="2" w:space="0" w:color="000000"/>
                                                    <w:bottom w:val="single" w:sz="2" w:space="0" w:color="000000"/>
                                                    <w:right w:val="single" w:sz="2" w:space="0" w:color="000000"/>
                                                  </w:divBdr>
                                                  <w:divsChild>
                                                    <w:div w:id="1532374207">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279679955">
                                                  <w:marLeft w:val="0"/>
                                                  <w:marRight w:val="0"/>
                                                  <w:marTop w:val="0"/>
                                                  <w:marBottom w:val="0"/>
                                                  <w:divBdr>
                                                    <w:top w:val="single" w:sz="2" w:space="0" w:color="000000"/>
                                                    <w:left w:val="single" w:sz="2" w:space="0" w:color="000000"/>
                                                    <w:bottom w:val="single" w:sz="2" w:space="0" w:color="000000"/>
                                                    <w:right w:val="single" w:sz="2" w:space="0" w:color="000000"/>
                                                  </w:divBdr>
                                                  <w:divsChild>
                                                    <w:div w:id="47988413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19882297">
                  <w:marLeft w:val="0"/>
                  <w:marRight w:val="0"/>
                  <w:marTop w:val="0"/>
                  <w:marBottom w:val="0"/>
                  <w:divBdr>
                    <w:top w:val="none" w:sz="0" w:space="0" w:color="auto"/>
                    <w:left w:val="none" w:sz="0" w:space="0" w:color="auto"/>
                    <w:bottom w:val="none" w:sz="0" w:space="0" w:color="auto"/>
                    <w:right w:val="none" w:sz="0" w:space="0" w:color="auto"/>
                  </w:divBdr>
                  <w:divsChild>
                    <w:div w:id="1332685086">
                      <w:marLeft w:val="0"/>
                      <w:marRight w:val="0"/>
                      <w:marTop w:val="0"/>
                      <w:marBottom w:val="0"/>
                      <w:divBdr>
                        <w:top w:val="none" w:sz="0" w:space="0" w:color="auto"/>
                        <w:left w:val="none" w:sz="0" w:space="0" w:color="auto"/>
                        <w:bottom w:val="none" w:sz="0" w:space="0" w:color="auto"/>
                        <w:right w:val="none" w:sz="0" w:space="0" w:color="auto"/>
                      </w:divBdr>
                      <w:divsChild>
                        <w:div w:id="445003653">
                          <w:marLeft w:val="-690"/>
                          <w:marRight w:val="150"/>
                          <w:marTop w:val="0"/>
                          <w:marBottom w:val="0"/>
                          <w:divBdr>
                            <w:top w:val="none" w:sz="0" w:space="0" w:color="auto"/>
                            <w:left w:val="none" w:sz="0" w:space="0" w:color="auto"/>
                            <w:bottom w:val="none" w:sz="0" w:space="0" w:color="auto"/>
                            <w:right w:val="none" w:sz="0" w:space="0" w:color="auto"/>
                          </w:divBdr>
                        </w:div>
                        <w:div w:id="1620378149">
                          <w:marLeft w:val="0"/>
                          <w:marRight w:val="0"/>
                          <w:marTop w:val="0"/>
                          <w:marBottom w:val="0"/>
                          <w:divBdr>
                            <w:top w:val="none" w:sz="0" w:space="0" w:color="auto"/>
                            <w:left w:val="none" w:sz="0" w:space="0" w:color="auto"/>
                            <w:bottom w:val="none" w:sz="0" w:space="0" w:color="auto"/>
                            <w:right w:val="none" w:sz="0" w:space="0" w:color="auto"/>
                          </w:divBdr>
                        </w:div>
                        <w:div w:id="107512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541890">
                  <w:marLeft w:val="0"/>
                  <w:marRight w:val="0"/>
                  <w:marTop w:val="0"/>
                  <w:marBottom w:val="0"/>
                  <w:divBdr>
                    <w:top w:val="none" w:sz="0" w:space="0" w:color="auto"/>
                    <w:left w:val="none" w:sz="0" w:space="0" w:color="auto"/>
                    <w:bottom w:val="none" w:sz="0" w:space="0" w:color="auto"/>
                    <w:right w:val="none" w:sz="0" w:space="0" w:color="auto"/>
                  </w:divBdr>
                  <w:divsChild>
                    <w:div w:id="608512018">
                      <w:marLeft w:val="0"/>
                      <w:marRight w:val="0"/>
                      <w:marTop w:val="0"/>
                      <w:marBottom w:val="0"/>
                      <w:divBdr>
                        <w:top w:val="none" w:sz="0" w:space="0" w:color="auto"/>
                        <w:left w:val="none" w:sz="0" w:space="0" w:color="auto"/>
                        <w:bottom w:val="none" w:sz="0" w:space="0" w:color="auto"/>
                        <w:right w:val="none" w:sz="0" w:space="0" w:color="auto"/>
                      </w:divBdr>
                      <w:divsChild>
                        <w:div w:id="1210219235">
                          <w:marLeft w:val="-690"/>
                          <w:marRight w:val="150"/>
                          <w:marTop w:val="0"/>
                          <w:marBottom w:val="0"/>
                          <w:divBdr>
                            <w:top w:val="none" w:sz="0" w:space="0" w:color="auto"/>
                            <w:left w:val="none" w:sz="0" w:space="0" w:color="auto"/>
                            <w:bottom w:val="none" w:sz="0" w:space="0" w:color="auto"/>
                            <w:right w:val="none" w:sz="0" w:space="0" w:color="auto"/>
                          </w:divBdr>
                        </w:div>
                        <w:div w:id="1713964805">
                          <w:marLeft w:val="0"/>
                          <w:marRight w:val="0"/>
                          <w:marTop w:val="0"/>
                          <w:marBottom w:val="0"/>
                          <w:divBdr>
                            <w:top w:val="none" w:sz="0" w:space="0" w:color="auto"/>
                            <w:left w:val="none" w:sz="0" w:space="0" w:color="auto"/>
                            <w:bottom w:val="none" w:sz="0" w:space="0" w:color="auto"/>
                            <w:right w:val="none" w:sz="0" w:space="0" w:color="auto"/>
                          </w:divBdr>
                        </w:div>
                        <w:div w:id="165059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306227">
                  <w:marLeft w:val="0"/>
                  <w:marRight w:val="0"/>
                  <w:marTop w:val="0"/>
                  <w:marBottom w:val="0"/>
                  <w:divBdr>
                    <w:top w:val="none" w:sz="0" w:space="0" w:color="auto"/>
                    <w:left w:val="none" w:sz="0" w:space="0" w:color="auto"/>
                    <w:bottom w:val="none" w:sz="0" w:space="0" w:color="auto"/>
                    <w:right w:val="none" w:sz="0" w:space="0" w:color="auto"/>
                  </w:divBdr>
                  <w:divsChild>
                    <w:div w:id="1669482638">
                      <w:marLeft w:val="0"/>
                      <w:marRight w:val="0"/>
                      <w:marTop w:val="0"/>
                      <w:marBottom w:val="0"/>
                      <w:divBdr>
                        <w:top w:val="none" w:sz="0" w:space="0" w:color="auto"/>
                        <w:left w:val="none" w:sz="0" w:space="0" w:color="auto"/>
                        <w:bottom w:val="none" w:sz="0" w:space="0" w:color="auto"/>
                        <w:right w:val="none" w:sz="0" w:space="0" w:color="auto"/>
                      </w:divBdr>
                      <w:divsChild>
                        <w:div w:id="870846600">
                          <w:marLeft w:val="-690"/>
                          <w:marRight w:val="150"/>
                          <w:marTop w:val="0"/>
                          <w:marBottom w:val="0"/>
                          <w:divBdr>
                            <w:top w:val="none" w:sz="0" w:space="0" w:color="auto"/>
                            <w:left w:val="none" w:sz="0" w:space="0" w:color="auto"/>
                            <w:bottom w:val="none" w:sz="0" w:space="0" w:color="auto"/>
                            <w:right w:val="none" w:sz="0" w:space="0" w:color="auto"/>
                          </w:divBdr>
                        </w:div>
                        <w:div w:id="1762989116">
                          <w:marLeft w:val="0"/>
                          <w:marRight w:val="0"/>
                          <w:marTop w:val="0"/>
                          <w:marBottom w:val="0"/>
                          <w:divBdr>
                            <w:top w:val="none" w:sz="0" w:space="0" w:color="auto"/>
                            <w:left w:val="none" w:sz="0" w:space="0" w:color="auto"/>
                            <w:bottom w:val="none" w:sz="0" w:space="0" w:color="auto"/>
                            <w:right w:val="none" w:sz="0" w:space="0" w:color="auto"/>
                          </w:divBdr>
                        </w:div>
                        <w:div w:id="131853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0350162">
          <w:marLeft w:val="0"/>
          <w:marRight w:val="0"/>
          <w:marTop w:val="0"/>
          <w:marBottom w:val="0"/>
          <w:divBdr>
            <w:top w:val="none" w:sz="0" w:space="0" w:color="auto"/>
            <w:left w:val="none" w:sz="0" w:space="0" w:color="auto"/>
            <w:bottom w:val="none" w:sz="0" w:space="0" w:color="auto"/>
            <w:right w:val="none" w:sz="0" w:space="0" w:color="auto"/>
          </w:divBdr>
          <w:divsChild>
            <w:div w:id="1296453318">
              <w:marLeft w:val="0"/>
              <w:marRight w:val="0"/>
              <w:marTop w:val="0"/>
              <w:marBottom w:val="0"/>
              <w:divBdr>
                <w:top w:val="none" w:sz="0" w:space="0" w:color="auto"/>
                <w:left w:val="none" w:sz="0" w:space="0" w:color="auto"/>
                <w:bottom w:val="none" w:sz="0" w:space="0" w:color="auto"/>
                <w:right w:val="none" w:sz="0" w:space="0" w:color="auto"/>
              </w:divBdr>
              <w:divsChild>
                <w:div w:id="1945452624">
                  <w:marLeft w:val="0"/>
                  <w:marRight w:val="0"/>
                  <w:marTop w:val="0"/>
                  <w:marBottom w:val="0"/>
                  <w:divBdr>
                    <w:top w:val="none" w:sz="0" w:space="0" w:color="auto"/>
                    <w:left w:val="none" w:sz="0" w:space="0" w:color="auto"/>
                    <w:bottom w:val="none" w:sz="0" w:space="0" w:color="auto"/>
                    <w:right w:val="none" w:sz="0" w:space="0" w:color="auto"/>
                  </w:divBdr>
                  <w:divsChild>
                    <w:div w:id="1390836119">
                      <w:marLeft w:val="0"/>
                      <w:marRight w:val="0"/>
                      <w:marTop w:val="0"/>
                      <w:marBottom w:val="0"/>
                      <w:divBdr>
                        <w:top w:val="none" w:sz="0" w:space="0" w:color="auto"/>
                        <w:left w:val="none" w:sz="0" w:space="0" w:color="auto"/>
                        <w:bottom w:val="none" w:sz="0" w:space="0" w:color="auto"/>
                        <w:right w:val="none" w:sz="0" w:space="0" w:color="auto"/>
                      </w:divBdr>
                      <w:divsChild>
                        <w:div w:id="924269971">
                          <w:marLeft w:val="0"/>
                          <w:marRight w:val="0"/>
                          <w:marTop w:val="0"/>
                          <w:marBottom w:val="0"/>
                          <w:divBdr>
                            <w:top w:val="none" w:sz="0" w:space="0" w:color="auto"/>
                            <w:left w:val="none" w:sz="0" w:space="0" w:color="auto"/>
                            <w:bottom w:val="none" w:sz="0" w:space="0" w:color="auto"/>
                            <w:right w:val="none" w:sz="0" w:space="0" w:color="auto"/>
                          </w:divBdr>
                          <w:divsChild>
                            <w:div w:id="396249892">
                              <w:marLeft w:val="0"/>
                              <w:marRight w:val="0"/>
                              <w:marTop w:val="0"/>
                              <w:marBottom w:val="0"/>
                              <w:divBdr>
                                <w:top w:val="none" w:sz="0" w:space="0" w:color="auto"/>
                                <w:left w:val="none" w:sz="0" w:space="0" w:color="auto"/>
                                <w:bottom w:val="none" w:sz="0" w:space="0" w:color="auto"/>
                                <w:right w:val="none" w:sz="0" w:space="0" w:color="auto"/>
                              </w:divBdr>
                              <w:divsChild>
                                <w:div w:id="69122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801518">
                      <w:marLeft w:val="0"/>
                      <w:marRight w:val="0"/>
                      <w:marTop w:val="0"/>
                      <w:marBottom w:val="0"/>
                      <w:divBdr>
                        <w:top w:val="none" w:sz="0" w:space="0" w:color="auto"/>
                        <w:left w:val="none" w:sz="0" w:space="0" w:color="auto"/>
                        <w:bottom w:val="none" w:sz="0" w:space="0" w:color="auto"/>
                        <w:right w:val="none" w:sz="0" w:space="0" w:color="auto"/>
                      </w:divBdr>
                      <w:divsChild>
                        <w:div w:id="1044981402">
                          <w:marLeft w:val="0"/>
                          <w:marRight w:val="0"/>
                          <w:marTop w:val="0"/>
                          <w:marBottom w:val="0"/>
                          <w:divBdr>
                            <w:top w:val="none" w:sz="0" w:space="0" w:color="auto"/>
                            <w:left w:val="none" w:sz="0" w:space="0" w:color="auto"/>
                            <w:bottom w:val="none" w:sz="0" w:space="0" w:color="auto"/>
                            <w:right w:val="none" w:sz="0" w:space="0" w:color="auto"/>
                          </w:divBdr>
                          <w:divsChild>
                            <w:div w:id="94064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774849">
                      <w:marLeft w:val="0"/>
                      <w:marRight w:val="0"/>
                      <w:marTop w:val="0"/>
                      <w:marBottom w:val="0"/>
                      <w:divBdr>
                        <w:top w:val="none" w:sz="0" w:space="0" w:color="auto"/>
                        <w:left w:val="none" w:sz="0" w:space="0" w:color="auto"/>
                        <w:bottom w:val="none" w:sz="0" w:space="0" w:color="auto"/>
                        <w:right w:val="none" w:sz="0" w:space="0" w:color="auto"/>
                      </w:divBdr>
                    </w:div>
                    <w:div w:id="435175580">
                      <w:marLeft w:val="0"/>
                      <w:marRight w:val="0"/>
                      <w:marTop w:val="0"/>
                      <w:marBottom w:val="0"/>
                      <w:divBdr>
                        <w:top w:val="none" w:sz="0" w:space="0" w:color="auto"/>
                        <w:left w:val="none" w:sz="0" w:space="0" w:color="auto"/>
                        <w:bottom w:val="none" w:sz="0" w:space="0" w:color="auto"/>
                        <w:right w:val="none" w:sz="0" w:space="0" w:color="auto"/>
                      </w:divBdr>
                      <w:divsChild>
                        <w:div w:id="1832209697">
                          <w:marLeft w:val="0"/>
                          <w:marRight w:val="105"/>
                          <w:marTop w:val="150"/>
                          <w:marBottom w:val="0"/>
                          <w:divBdr>
                            <w:top w:val="single" w:sz="6" w:space="0" w:color="000000"/>
                            <w:left w:val="none" w:sz="0" w:space="0" w:color="auto"/>
                            <w:bottom w:val="none" w:sz="0" w:space="0" w:color="auto"/>
                            <w:right w:val="none" w:sz="0" w:space="0" w:color="auto"/>
                          </w:divBdr>
                        </w:div>
                        <w:div w:id="491220396">
                          <w:marLeft w:val="0"/>
                          <w:marRight w:val="0"/>
                          <w:marTop w:val="225"/>
                          <w:marBottom w:val="0"/>
                          <w:divBdr>
                            <w:top w:val="single" w:sz="6" w:space="0" w:color="000000"/>
                            <w:left w:val="none" w:sz="0" w:space="0" w:color="auto"/>
                            <w:bottom w:val="none" w:sz="0" w:space="0" w:color="auto"/>
                            <w:right w:val="none" w:sz="0" w:space="0" w:color="auto"/>
                          </w:divBdr>
                          <w:divsChild>
                            <w:div w:id="192884592">
                              <w:marLeft w:val="0"/>
                              <w:marRight w:val="105"/>
                              <w:marTop w:val="150"/>
                              <w:marBottom w:val="0"/>
                              <w:divBdr>
                                <w:top w:val="none" w:sz="0" w:space="0" w:color="auto"/>
                                <w:left w:val="none" w:sz="0" w:space="0" w:color="auto"/>
                                <w:bottom w:val="none" w:sz="0" w:space="0" w:color="auto"/>
                                <w:right w:val="none" w:sz="0" w:space="0" w:color="auto"/>
                              </w:divBdr>
                            </w:div>
                            <w:div w:id="1864199456">
                              <w:marLeft w:val="0"/>
                              <w:marRight w:val="105"/>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4709369">
          <w:marLeft w:val="0"/>
          <w:marRight w:val="0"/>
          <w:marTop w:val="0"/>
          <w:marBottom w:val="0"/>
          <w:divBdr>
            <w:top w:val="none" w:sz="0" w:space="0" w:color="auto"/>
            <w:left w:val="none" w:sz="0" w:space="0" w:color="auto"/>
            <w:bottom w:val="none" w:sz="0" w:space="0" w:color="auto"/>
            <w:right w:val="none" w:sz="0" w:space="0" w:color="auto"/>
          </w:divBdr>
          <w:divsChild>
            <w:div w:id="1840844662">
              <w:marLeft w:val="0"/>
              <w:marRight w:val="0"/>
              <w:marTop w:val="0"/>
              <w:marBottom w:val="0"/>
              <w:divBdr>
                <w:top w:val="none" w:sz="0" w:space="0" w:color="auto"/>
                <w:left w:val="none" w:sz="0" w:space="0" w:color="auto"/>
                <w:bottom w:val="none" w:sz="0" w:space="0" w:color="auto"/>
                <w:right w:val="none" w:sz="0" w:space="0" w:color="auto"/>
              </w:divBdr>
              <w:divsChild>
                <w:div w:id="160585420">
                  <w:marLeft w:val="0"/>
                  <w:marRight w:val="0"/>
                  <w:marTop w:val="0"/>
                  <w:marBottom w:val="0"/>
                  <w:divBdr>
                    <w:top w:val="none" w:sz="0" w:space="0" w:color="auto"/>
                    <w:left w:val="none" w:sz="0" w:space="0" w:color="auto"/>
                    <w:bottom w:val="none" w:sz="0" w:space="0" w:color="auto"/>
                    <w:right w:val="none" w:sz="0" w:space="0" w:color="auto"/>
                  </w:divBdr>
                  <w:divsChild>
                    <w:div w:id="1858739567">
                      <w:marLeft w:val="0"/>
                      <w:marRight w:val="0"/>
                      <w:marTop w:val="0"/>
                      <w:marBottom w:val="0"/>
                      <w:divBdr>
                        <w:top w:val="none" w:sz="0" w:space="0" w:color="auto"/>
                        <w:left w:val="none" w:sz="0" w:space="0" w:color="auto"/>
                        <w:bottom w:val="none" w:sz="0" w:space="0" w:color="auto"/>
                        <w:right w:val="none" w:sz="0" w:space="0" w:color="auto"/>
                      </w:divBdr>
                      <w:divsChild>
                        <w:div w:id="2055225481">
                          <w:marLeft w:val="0"/>
                          <w:marRight w:val="0"/>
                          <w:marTop w:val="0"/>
                          <w:marBottom w:val="0"/>
                          <w:divBdr>
                            <w:top w:val="none" w:sz="0" w:space="0" w:color="auto"/>
                            <w:left w:val="none" w:sz="0" w:space="0" w:color="auto"/>
                            <w:bottom w:val="none" w:sz="0" w:space="0" w:color="auto"/>
                            <w:right w:val="none" w:sz="0" w:space="0" w:color="auto"/>
                          </w:divBdr>
                          <w:divsChild>
                            <w:div w:id="585458058">
                              <w:marLeft w:val="-690"/>
                              <w:marRight w:val="150"/>
                              <w:marTop w:val="0"/>
                              <w:marBottom w:val="0"/>
                              <w:divBdr>
                                <w:top w:val="none" w:sz="0" w:space="0" w:color="auto"/>
                                <w:left w:val="none" w:sz="0" w:space="0" w:color="auto"/>
                                <w:bottom w:val="none" w:sz="0" w:space="0" w:color="auto"/>
                                <w:right w:val="none" w:sz="0" w:space="0" w:color="auto"/>
                              </w:divBdr>
                            </w:div>
                            <w:div w:id="923414617">
                              <w:marLeft w:val="0"/>
                              <w:marRight w:val="0"/>
                              <w:marTop w:val="0"/>
                              <w:marBottom w:val="0"/>
                              <w:divBdr>
                                <w:top w:val="none" w:sz="0" w:space="0" w:color="auto"/>
                                <w:left w:val="none" w:sz="0" w:space="0" w:color="auto"/>
                                <w:bottom w:val="none" w:sz="0" w:space="0" w:color="auto"/>
                                <w:right w:val="none" w:sz="0" w:space="0" w:color="auto"/>
                              </w:divBdr>
                            </w:div>
                            <w:div w:id="187048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76089">
                      <w:marLeft w:val="0"/>
                      <w:marRight w:val="0"/>
                      <w:marTop w:val="0"/>
                      <w:marBottom w:val="0"/>
                      <w:divBdr>
                        <w:top w:val="none" w:sz="0" w:space="0" w:color="auto"/>
                        <w:left w:val="none" w:sz="0" w:space="0" w:color="auto"/>
                        <w:bottom w:val="none" w:sz="0" w:space="0" w:color="auto"/>
                        <w:right w:val="none" w:sz="0" w:space="0" w:color="auto"/>
                      </w:divBdr>
                      <w:divsChild>
                        <w:div w:id="415326605">
                          <w:marLeft w:val="0"/>
                          <w:marRight w:val="0"/>
                          <w:marTop w:val="0"/>
                          <w:marBottom w:val="0"/>
                          <w:divBdr>
                            <w:top w:val="none" w:sz="0" w:space="0" w:color="auto"/>
                            <w:left w:val="none" w:sz="0" w:space="0" w:color="auto"/>
                            <w:bottom w:val="none" w:sz="0" w:space="0" w:color="auto"/>
                            <w:right w:val="none" w:sz="0" w:space="0" w:color="auto"/>
                          </w:divBdr>
                          <w:divsChild>
                            <w:div w:id="333455472">
                              <w:marLeft w:val="-690"/>
                              <w:marRight w:val="150"/>
                              <w:marTop w:val="0"/>
                              <w:marBottom w:val="0"/>
                              <w:divBdr>
                                <w:top w:val="none" w:sz="0" w:space="0" w:color="auto"/>
                                <w:left w:val="none" w:sz="0" w:space="0" w:color="auto"/>
                                <w:bottom w:val="none" w:sz="0" w:space="0" w:color="auto"/>
                                <w:right w:val="none" w:sz="0" w:space="0" w:color="auto"/>
                              </w:divBdr>
                            </w:div>
                            <w:div w:id="362948913">
                              <w:marLeft w:val="0"/>
                              <w:marRight w:val="0"/>
                              <w:marTop w:val="0"/>
                              <w:marBottom w:val="0"/>
                              <w:divBdr>
                                <w:top w:val="none" w:sz="0" w:space="0" w:color="auto"/>
                                <w:left w:val="none" w:sz="0" w:space="0" w:color="auto"/>
                                <w:bottom w:val="none" w:sz="0" w:space="0" w:color="auto"/>
                                <w:right w:val="none" w:sz="0" w:space="0" w:color="auto"/>
                              </w:divBdr>
                            </w:div>
                            <w:div w:id="131407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2962368">
      <w:bodyDiv w:val="1"/>
      <w:marLeft w:val="0"/>
      <w:marRight w:val="0"/>
      <w:marTop w:val="0"/>
      <w:marBottom w:val="0"/>
      <w:divBdr>
        <w:top w:val="none" w:sz="0" w:space="0" w:color="auto"/>
        <w:left w:val="none" w:sz="0" w:space="0" w:color="auto"/>
        <w:bottom w:val="none" w:sz="0" w:space="0" w:color="auto"/>
        <w:right w:val="none" w:sz="0" w:space="0" w:color="auto"/>
      </w:divBdr>
    </w:div>
    <w:div w:id="1623993083">
      <w:bodyDiv w:val="1"/>
      <w:marLeft w:val="0"/>
      <w:marRight w:val="0"/>
      <w:marTop w:val="0"/>
      <w:marBottom w:val="0"/>
      <w:divBdr>
        <w:top w:val="none" w:sz="0" w:space="0" w:color="auto"/>
        <w:left w:val="none" w:sz="0" w:space="0" w:color="auto"/>
        <w:bottom w:val="none" w:sz="0" w:space="0" w:color="auto"/>
        <w:right w:val="none" w:sz="0" w:space="0" w:color="auto"/>
      </w:divBdr>
    </w:div>
    <w:div w:id="1816406697">
      <w:bodyDiv w:val="1"/>
      <w:marLeft w:val="0"/>
      <w:marRight w:val="0"/>
      <w:marTop w:val="0"/>
      <w:marBottom w:val="0"/>
      <w:divBdr>
        <w:top w:val="none" w:sz="0" w:space="0" w:color="auto"/>
        <w:left w:val="none" w:sz="0" w:space="0" w:color="auto"/>
        <w:bottom w:val="none" w:sz="0" w:space="0" w:color="auto"/>
        <w:right w:val="none" w:sz="0" w:space="0" w:color="auto"/>
      </w:divBdr>
    </w:div>
    <w:div w:id="1902866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ispolicyforum.org/research/state-tax-burden-up-but-overall-burden-still-fall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421</Words>
  <Characters>2400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msomm</dc:creator>
  <cp:keywords/>
  <dc:description/>
  <cp:lastModifiedBy>msomm</cp:lastModifiedBy>
  <cp:revision>9</cp:revision>
  <dcterms:created xsi:type="dcterms:W3CDTF">2023-08-15T20:08:00Z</dcterms:created>
  <dcterms:modified xsi:type="dcterms:W3CDTF">2023-08-15T20:43:00Z</dcterms:modified>
</cp:coreProperties>
</file>