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20565" w:rsidRDefault="004658A4">
      <w:pPr>
        <w:rPr>
          <w:rFonts w:cstheme="minorHAnsi"/>
          <w:b/>
          <w:bCs/>
        </w:rPr>
      </w:pPr>
    </w:p>
    <w:p w14:paraId="7491A732" w14:textId="7E805945" w:rsidR="00A91DFE" w:rsidRDefault="00A91DFE" w:rsidP="009B0B1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Redistricting </w:t>
      </w:r>
      <w:r>
        <w:rPr>
          <w:rFonts w:ascii="Calibri" w:hAnsi="Calibri" w:cs="Calibri"/>
          <w:color w:val="212121"/>
          <w:sz w:val="22"/>
          <w:szCs w:val="22"/>
        </w:rPr>
        <w:t>b</w:t>
      </w:r>
      <w:r>
        <w:rPr>
          <w:rFonts w:ascii="Calibri" w:hAnsi="Calibri" w:cs="Calibri"/>
          <w:color w:val="212121"/>
          <w:sz w:val="22"/>
          <w:szCs w:val="22"/>
        </w:rPr>
        <w:t xml:space="preserve">attle </w:t>
      </w:r>
      <w:r>
        <w:rPr>
          <w:rFonts w:ascii="Calibri" w:hAnsi="Calibri" w:cs="Calibri"/>
          <w:color w:val="212121"/>
          <w:sz w:val="22"/>
          <w:szCs w:val="22"/>
        </w:rPr>
        <w:t>r</w:t>
      </w:r>
      <w:r>
        <w:rPr>
          <w:rFonts w:ascii="Calibri" w:hAnsi="Calibri" w:cs="Calibri"/>
          <w:color w:val="212121"/>
          <w:sz w:val="22"/>
          <w:szCs w:val="22"/>
        </w:rPr>
        <w:t xml:space="preserve">enews after Protasiewicz </w:t>
      </w:r>
      <w:r>
        <w:rPr>
          <w:rFonts w:ascii="Calibri" w:hAnsi="Calibri" w:cs="Calibri"/>
          <w:color w:val="212121"/>
          <w:sz w:val="22"/>
          <w:szCs w:val="22"/>
        </w:rPr>
        <w:t>m</w:t>
      </w:r>
      <w:r>
        <w:rPr>
          <w:rFonts w:ascii="Calibri" w:hAnsi="Calibri" w:cs="Calibri"/>
          <w:color w:val="212121"/>
          <w:sz w:val="22"/>
          <w:szCs w:val="22"/>
        </w:rPr>
        <w:t>akes</w:t>
      </w:r>
      <w:r>
        <w:rPr>
          <w:rFonts w:ascii="Calibri" w:hAnsi="Calibri" w:cs="Calibri"/>
          <w:color w:val="212121"/>
          <w:sz w:val="22"/>
          <w:szCs w:val="22"/>
        </w:rPr>
        <w:t xml:space="preserve"> l</w:t>
      </w:r>
      <w:r>
        <w:rPr>
          <w:rFonts w:ascii="Calibri" w:hAnsi="Calibri" w:cs="Calibri"/>
          <w:color w:val="212121"/>
          <w:sz w:val="22"/>
          <w:szCs w:val="22"/>
        </w:rPr>
        <w:t xml:space="preserve">iberal </w:t>
      </w:r>
      <w:r>
        <w:rPr>
          <w:rFonts w:ascii="Calibri" w:hAnsi="Calibri" w:cs="Calibri"/>
          <w:color w:val="212121"/>
          <w:sz w:val="22"/>
          <w:szCs w:val="22"/>
        </w:rPr>
        <w:t>c</w:t>
      </w:r>
      <w:r>
        <w:rPr>
          <w:rFonts w:ascii="Calibri" w:hAnsi="Calibri" w:cs="Calibri"/>
          <w:color w:val="212121"/>
          <w:sz w:val="22"/>
          <w:szCs w:val="22"/>
        </w:rPr>
        <w:t xml:space="preserve">ourt a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r</w:t>
      </w:r>
      <w:r>
        <w:rPr>
          <w:rFonts w:ascii="Calibri" w:hAnsi="Calibri" w:cs="Calibri"/>
          <w:color w:val="212121"/>
          <w:sz w:val="22"/>
          <w:szCs w:val="22"/>
        </w:rPr>
        <w:t>eality</w:t>
      </w:r>
      <w:proofErr w:type="gramEnd"/>
    </w:p>
    <w:p w14:paraId="63FC8FFD" w14:textId="77777777" w:rsidR="00A91DFE" w:rsidRDefault="00A91DFE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7CDF2FE9" w14:textId="190930F1" w:rsidR="00A91DFE" w:rsidRPr="00A91DFE" w:rsidRDefault="00D25D7C" w:rsidP="00A91DFE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212121"/>
          <w:sz w:val="22"/>
          <w:szCs w:val="22"/>
        </w:rPr>
        <w:t>By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WisPolitics.com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There was the high-spending, high-stakes battle in the spring election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for a state Supreme Court seat to determine the philosophical balance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of the high court.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Now there's the muti-front battle over the status of the new liberal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justice who easily won that race. The partisan battle pertains to new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cases challenging GOP-drawn legislative district lines. Those lines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will influence whether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Republicans can maintain their wide majorities in the Assembly and Senate.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Since the new liberal justice, Janet Protasiewicz, took office,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legal briefs have been proliferating and the conservative charges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against the Milwaukee judge have been mounting.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Republicans' aim is clear: derail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ocrats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efforts to redraw GOP-drawn maps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in time for the 2024 elections.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If they are redrawn closer to what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 like, Wisconsin's importance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will be further heightened. Already the Badger State is watched by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politicos around the country because of: the 2024 GOP national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convention in Milwaukee, the presidential election in a key swing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state, the re-election bid of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Tammy Baldwin that will help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maintain control of the U.S. Senate and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s' challenge of freshman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conservative Congressman Derrick Van Orden in western Wisconsin.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GOP Assembly Speaker Robin Vos even suggested his caucus could look at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impeaching the new liberal Supreme Court justice if she hears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redistricting suits. Political insiders took notice. They noted if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lawmakers were successful in removing her from the bench -- and there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are serious doubts the Senate would go along --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Gov. Tony Evers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would fill the vacancy with someone just as liberal and Vos would be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opening his caucus to backlash for usurping the will of voters.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In the meantime, GOP lawmakers have filed a motion seeking to force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Protasiewicz off a pair of redistricting lawsuits, based on donations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she received from the state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Party and past comments the current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lines are “rigged” for Republicans.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motion filed with the state Supreme Court seeks her recusal from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all aspects of the cases, including the decision on whether the court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should take original action in the suit.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court set a late August deadline for parties to respond to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requests that they take original action in two liberal lawsuits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seeking to overturn maps put in place last year. Both argue the GOP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lines,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approved when the court was controlled by conservatives 4-3,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are illegal on various fronts.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Along with the state Elections Commission, one suit names as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defendants each member of the state Senate who was elected last fall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under the current lines. Meanwhile, the GOP-controlled state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Legislature has filed motions to intervene in both cases.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According to one filing from the GOP lawmakers, the motion argues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U.S. Constitution and state law require recusal “based on millions of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dollars donated by the Democratic Party of Wisconsin,” as well as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proofErr w:type="spellStart"/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Protasiewicz’s</w:t>
      </w:r>
      <w:proofErr w:type="spellEnd"/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comments on the campaign trail that the current maps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are “unfair” and “rigged” in favor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>of Republicans.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“Justice Protasiewicz invited a ‘fresh look’ at the questions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presented. And Petitioners accepted the invitation, filing this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Petition one day after Justice Protasiewicz was sworn in,” lawyers for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 GOP senators wrote in a footnote.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This was preceded by a shot from conservative Justice Rebecca Bradley,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who knocked Protasiewicz for not recusing from the case. Bradley noted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 U.S. Supreme Court ruling regarding a West Virginia judge. The court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found in that case the judge improperly heard a suit involving a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contributor who gave $3 million to his campaign.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state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Party, which isn’t a party to the redistricting suits,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gave Protasiewicz nearly $10 million earlier this year between direct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transfers and in-kind contributions.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12 GOP senators also urged the court to reject both suits,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arguing: “This Court does not overrule precedent based on changes to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its members.”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Meanwhile, the five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lawmakers named in the suit argued the court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was wrong last year to put in place “extreme partisan maps that were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not chosen, but rather were explicitly rejected, through the political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process.”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Both redistricting suits argue those elected to Senate districts under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 current lines last fall should have to run in special elections in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2024 under new maps. Those senators would potentially be on the ballot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in 2022, 2024 and 2026.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GOP motion knocked the suit in which the lawmakers are named as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“an unapologetic attempt to retread old ground with the hope of a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different result.”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motion also seeks to rebut a claim in one of the suits that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current maps are unconstitutional because some legislative districts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aren’t contiguous and include municipal “islands” that aren’t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connected to the seats.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Republicans argued in their brief that courts for at least the past 50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years have allowed such districts.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filing argues while past legislatures and courts have ignored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 contiguity requirement in the Wisconsin Constitution, they were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wrong to do so.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They also embraced an argument raised by the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voters who filed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suit that the state Supreme Court last year violated the separation of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powers by putting in place lines that Republican lawmakers drew.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Those maps passed both houses of the Legislature in late 2021, but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were vetoed by Evers. GOP lawmakers then submitted the same maps to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 then-conservative court for consideration.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Dem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 brief argues the justices acted as a super legislature to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override Evers’ veto and impose maps that failed to be approved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through the legislative process.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“Rather than carrying out its own powers, under the guise of the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redistricting litigation, the Legislature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>requested the Court assume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and subvert legislative powers expressly conferred to the political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branches,” they argued.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Elections Commission, a defendant in both suits, wrote in its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response the agency’s primary concern is that any litigation doesn’t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disrupt the efficient administration of the 2024 election calendar. In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the last redistricting suit, the agency indicated it would need maps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 xml:space="preserve">in place by March 15, 2022, to be able to </w:t>
      </w:r>
      <w:proofErr w:type="gramStart"/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“timely and effectively”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administer that fall’s election</w:t>
      </w:r>
      <w:proofErr w:type="gramEnd"/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. The agency added it’s prepared to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provide a specific timeline for the latest suits if asked.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br/>
        <w:t>The furious legal wrangling is just beginning. And so is the latest</w:t>
      </w:r>
      <w:r w:rsidR="00DD5E1C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A91DFE" w:rsidRPr="00A91DFE">
        <w:rPr>
          <w:rFonts w:ascii="Calibri" w:eastAsia="Times New Roman" w:hAnsi="Calibri" w:cs="Calibri"/>
          <w:color w:val="212121"/>
          <w:sz w:val="22"/>
          <w:szCs w:val="22"/>
        </w:rPr>
        <w:t>redistricting battle.</w:t>
      </w:r>
    </w:p>
    <w:p w14:paraId="6955253E" w14:textId="193DF2C3" w:rsidR="00C72A24" w:rsidRDefault="009B0B16" w:rsidP="009B0B16"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For more go to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77777777" w:rsidR="009B0B16" w:rsidRDefault="009B0B16" w:rsidP="009B0B16">
      <w:pPr>
        <w:pStyle w:val="NormalWeb"/>
      </w:pPr>
      <w:r>
        <w:rPr>
          <w:rStyle w:val="s1"/>
          <w:i/>
          <w:iCs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>
        <w:rPr>
          <w:rStyle w:val="s1"/>
          <w:i/>
          <w:iCs/>
        </w:rPr>
        <w:t>politics, and</w:t>
      </w:r>
      <w:proofErr w:type="gramEnd"/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262DA1"/>
    <w:rsid w:val="002A19AA"/>
    <w:rsid w:val="0037149B"/>
    <w:rsid w:val="003D31C4"/>
    <w:rsid w:val="004658A4"/>
    <w:rsid w:val="00471042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5412C"/>
    <w:rsid w:val="00D67586"/>
    <w:rsid w:val="00DA47E5"/>
    <w:rsid w:val="00DD5E1C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866</Words>
  <Characters>6017</Characters>
  <Application>Microsoft Office Word</Application>
  <DocSecurity>0</DocSecurity>
  <Lines>250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52</cp:revision>
  <dcterms:created xsi:type="dcterms:W3CDTF">2022-11-18T19:22:00Z</dcterms:created>
  <dcterms:modified xsi:type="dcterms:W3CDTF">2023-08-29T16:23:00Z</dcterms:modified>
</cp:coreProperties>
</file>