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B9CF" w14:textId="77777777" w:rsidR="00256FE8" w:rsidRDefault="00945294" w:rsidP="002A0354">
      <w:pPr>
        <w:shd w:val="clear" w:color="auto" w:fill="FFFFFF"/>
        <w:rPr>
          <w:rFonts w:cstheme="minorHAnsi"/>
          <w:b/>
        </w:rPr>
      </w:pPr>
      <w:r w:rsidRPr="00440B68">
        <w:rPr>
          <w:rFonts w:cstheme="minorHAnsi"/>
          <w:b/>
        </w:rPr>
        <w:t>Fiscal Facts:</w:t>
      </w:r>
      <w:r w:rsidR="0057766D">
        <w:rPr>
          <w:rFonts w:cstheme="minorHAnsi"/>
          <w:b/>
        </w:rPr>
        <w:t xml:space="preserve"> </w:t>
      </w:r>
      <w:r w:rsidR="002A0354" w:rsidRPr="002A0354">
        <w:rPr>
          <w:rFonts w:cstheme="minorHAnsi"/>
          <w:b/>
        </w:rPr>
        <w:t>More</w:t>
      </w:r>
      <w:r w:rsidR="002A0354">
        <w:rPr>
          <w:rFonts w:cstheme="minorHAnsi"/>
          <w:b/>
        </w:rPr>
        <w:t xml:space="preserve"> Wisconsin</w:t>
      </w:r>
      <w:r w:rsidR="002A0354" w:rsidRPr="002A0354">
        <w:rPr>
          <w:rFonts w:cstheme="minorHAnsi"/>
          <w:b/>
        </w:rPr>
        <w:t xml:space="preserve"> schools turn to short-term</w:t>
      </w:r>
      <w:r w:rsidR="002A0354">
        <w:rPr>
          <w:rFonts w:cstheme="minorHAnsi"/>
          <w:b/>
        </w:rPr>
        <w:t xml:space="preserve"> “emergency”</w:t>
      </w:r>
      <w:r w:rsidR="002A0354" w:rsidRPr="002A0354">
        <w:rPr>
          <w:rFonts w:cstheme="minorHAnsi"/>
          <w:b/>
        </w:rPr>
        <w:t xml:space="preserve"> </w:t>
      </w:r>
      <w:r w:rsidR="002A0354">
        <w:rPr>
          <w:rFonts w:cstheme="minorHAnsi"/>
          <w:b/>
        </w:rPr>
        <w:t xml:space="preserve">teaching </w:t>
      </w:r>
      <w:r w:rsidR="002A0354" w:rsidRPr="002A0354">
        <w:rPr>
          <w:rFonts w:cstheme="minorHAnsi"/>
          <w:b/>
        </w:rPr>
        <w:t>licenses</w:t>
      </w:r>
    </w:p>
    <w:p w14:paraId="6E89298A" w14:textId="77777777" w:rsidR="002A0354" w:rsidRDefault="002A0354" w:rsidP="002A0354">
      <w:pPr>
        <w:shd w:val="clear" w:color="auto" w:fill="FFFFFF"/>
        <w:rPr>
          <w:rFonts w:cstheme="minorHAnsi"/>
        </w:rPr>
      </w:pPr>
    </w:p>
    <w:p w14:paraId="1F0B9031" w14:textId="77777777" w:rsidR="002A0354" w:rsidRDefault="002A0354" w:rsidP="002A0354">
      <w:pPr>
        <w:shd w:val="clear" w:color="auto" w:fill="FFFFFF"/>
        <w:rPr>
          <w:rFonts w:cstheme="minorHAnsi"/>
        </w:rPr>
      </w:pPr>
      <w:r>
        <w:rPr>
          <w:rFonts w:cstheme="minorHAnsi"/>
        </w:rPr>
        <w:t>I</w:t>
      </w:r>
      <w:r w:rsidRPr="002A0354">
        <w:rPr>
          <w:rFonts w:cstheme="minorHAnsi"/>
        </w:rPr>
        <w:t>n just the past decade, the number of emergency teaching licenses in Wisconsin has nearly tripled, suggesting schools are facing increasing challenges from staff shortages and high turnover in areas such as special education.</w:t>
      </w:r>
    </w:p>
    <w:p w14:paraId="19A7616C" w14:textId="77777777" w:rsidR="00C26EFC" w:rsidRDefault="00C26EFC" w:rsidP="002A0354">
      <w:pPr>
        <w:shd w:val="clear" w:color="auto" w:fill="FFFFFF"/>
        <w:rPr>
          <w:rFonts w:cstheme="minorHAnsi"/>
        </w:rPr>
      </w:pPr>
    </w:p>
    <w:p w14:paraId="455139DC" w14:textId="77777777" w:rsidR="009A0F0F" w:rsidRDefault="009A0F0F" w:rsidP="002A0354">
      <w:pPr>
        <w:shd w:val="clear" w:color="auto" w:fill="FFFFFF"/>
        <w:rPr>
          <w:rFonts w:cstheme="minorHAnsi"/>
        </w:rPr>
      </w:pPr>
      <w:r w:rsidRPr="009A0F0F">
        <w:rPr>
          <w:rFonts w:cstheme="minorHAnsi"/>
        </w:rPr>
        <w:t xml:space="preserve">When school districts in Wisconsin cannot find a teacher licensed by </w:t>
      </w:r>
      <w:r w:rsidR="00375B61">
        <w:rPr>
          <w:rFonts w:cstheme="minorHAnsi"/>
        </w:rPr>
        <w:t xml:space="preserve">the state </w:t>
      </w:r>
      <w:r w:rsidRPr="009A0F0F">
        <w:rPr>
          <w:rFonts w:cstheme="minorHAnsi"/>
        </w:rPr>
        <w:t>D</w:t>
      </w:r>
      <w:r w:rsidR="00375B61">
        <w:rPr>
          <w:rFonts w:cstheme="minorHAnsi"/>
        </w:rPr>
        <w:t xml:space="preserve">epartment of </w:t>
      </w:r>
      <w:r w:rsidRPr="009A0F0F">
        <w:rPr>
          <w:rFonts w:cstheme="minorHAnsi"/>
        </w:rPr>
        <w:t>P</w:t>
      </w:r>
      <w:r w:rsidR="00375B61">
        <w:rPr>
          <w:rFonts w:cstheme="minorHAnsi"/>
        </w:rPr>
        <w:t xml:space="preserve">ublic </w:t>
      </w:r>
      <w:r w:rsidRPr="009A0F0F">
        <w:rPr>
          <w:rFonts w:cstheme="minorHAnsi"/>
        </w:rPr>
        <w:t>I</w:t>
      </w:r>
      <w:r w:rsidR="00375B61">
        <w:rPr>
          <w:rFonts w:cstheme="minorHAnsi"/>
        </w:rPr>
        <w:t xml:space="preserve">nstruction to fill a </w:t>
      </w:r>
      <w:r w:rsidRPr="009A0F0F">
        <w:rPr>
          <w:rFonts w:cstheme="minorHAnsi"/>
        </w:rPr>
        <w:t>position, they can hire an unlicensed individual who then applies for a license with certain conditions, commonly referred to as an emergency license. The licenses also can be used by counselors, social workers, librarians, and school administrators. Emergency licenses play an important role in staffing the state’s classrooms and may be used in a variety of scenarios, which are often short-term and sometimes urgent.</w:t>
      </w:r>
    </w:p>
    <w:p w14:paraId="58258DA7" w14:textId="77777777" w:rsidR="009A0F0F" w:rsidRDefault="009A0F0F" w:rsidP="002A0354">
      <w:pPr>
        <w:shd w:val="clear" w:color="auto" w:fill="FFFFFF"/>
        <w:rPr>
          <w:rFonts w:cstheme="minorHAnsi"/>
        </w:rPr>
      </w:pPr>
    </w:p>
    <w:p w14:paraId="33B82C9D" w14:textId="77777777" w:rsidR="00C26EFC" w:rsidRDefault="00C26EFC" w:rsidP="002A0354">
      <w:pPr>
        <w:shd w:val="clear" w:color="auto" w:fill="FFFFFF"/>
        <w:rPr>
          <w:rFonts w:cstheme="minorHAnsi"/>
        </w:rPr>
      </w:pPr>
      <w:r w:rsidRPr="00C26EFC">
        <w:rPr>
          <w:rFonts w:cstheme="minorHAnsi"/>
        </w:rPr>
        <w:t>In the 2021-22 school year, the state Department of Public Instruction (DPI) issued 3,197 emergency licenses to teach in Wisconsin. This is an increase of 2,072 licenses, or 184.2%, over 2012-13, when 1,125 emergency licenses were issued</w:t>
      </w:r>
      <w:r>
        <w:rPr>
          <w:rFonts w:cstheme="minorHAnsi"/>
        </w:rPr>
        <w:t>.</w:t>
      </w:r>
    </w:p>
    <w:p w14:paraId="3B9460EC" w14:textId="77777777" w:rsidR="009A61AB" w:rsidRDefault="009A61AB" w:rsidP="00C26EFC">
      <w:pPr>
        <w:shd w:val="clear" w:color="auto" w:fill="FFFFFF"/>
        <w:rPr>
          <w:rFonts w:cstheme="minorHAnsi"/>
        </w:rPr>
      </w:pPr>
    </w:p>
    <w:p w14:paraId="46570810" w14:textId="77777777" w:rsidR="00C26EFC" w:rsidRPr="00C26EFC" w:rsidRDefault="009A61AB" w:rsidP="00C26EFC">
      <w:pPr>
        <w:shd w:val="clear" w:color="auto" w:fill="FFFFFF"/>
        <w:rPr>
          <w:rFonts w:cstheme="minorHAnsi"/>
        </w:rPr>
      </w:pPr>
      <w:r>
        <w:rPr>
          <w:rFonts w:cstheme="minorHAnsi"/>
        </w:rPr>
        <w:t>T</w:t>
      </w:r>
      <w:r w:rsidR="00C26EFC" w:rsidRPr="00C26EFC">
        <w:rPr>
          <w:rFonts w:cstheme="minorHAnsi"/>
        </w:rPr>
        <w:t>he number of emergency license holders</w:t>
      </w:r>
      <w:r>
        <w:rPr>
          <w:rFonts w:cstheme="minorHAnsi"/>
        </w:rPr>
        <w:t xml:space="preserve"> also</w:t>
      </w:r>
      <w:r w:rsidR="00C26EFC" w:rsidRPr="00C26EFC">
        <w:rPr>
          <w:rFonts w:cstheme="minorHAnsi"/>
        </w:rPr>
        <w:t xml:space="preserve"> rose to</w:t>
      </w:r>
      <w:r w:rsidR="00C26EFC">
        <w:rPr>
          <w:rFonts w:cstheme="minorHAnsi"/>
        </w:rPr>
        <w:t xml:space="preserve"> a new high of 2,854 in 2021-22, from </w:t>
      </w:r>
      <w:r w:rsidR="00C26EFC" w:rsidRPr="00C26EFC">
        <w:rPr>
          <w:rFonts w:cstheme="minorHAnsi"/>
        </w:rPr>
        <w:t>1,076 i</w:t>
      </w:r>
      <w:r w:rsidR="00C26EFC">
        <w:rPr>
          <w:rFonts w:cstheme="minorHAnsi"/>
        </w:rPr>
        <w:t>n 2013. In addition, f</w:t>
      </w:r>
      <w:r w:rsidR="00C26EFC" w:rsidRPr="00C26EFC">
        <w:rPr>
          <w:rFonts w:cstheme="minorHAnsi"/>
        </w:rPr>
        <w:t>or 2019 and beyond, the number of emergency licenses and license holde</w:t>
      </w:r>
      <w:r w:rsidR="00C26EFC">
        <w:rPr>
          <w:rFonts w:cstheme="minorHAnsi"/>
        </w:rPr>
        <w:t>rs is actually higher than the reported counts because s</w:t>
      </w:r>
      <w:r w:rsidR="00C26EFC" w:rsidRPr="00C26EFC">
        <w:rPr>
          <w:rFonts w:cstheme="minorHAnsi"/>
        </w:rPr>
        <w:t>ince 2018, DPI has offered a three-year emergency license and only includes the license in its rep</w:t>
      </w:r>
      <w:r w:rsidR="00C26EFC">
        <w:rPr>
          <w:rFonts w:cstheme="minorHAnsi"/>
        </w:rPr>
        <w:t xml:space="preserve">orted count for the year of </w:t>
      </w:r>
      <w:r w:rsidR="00C26EFC" w:rsidRPr="00C26EFC">
        <w:rPr>
          <w:rFonts w:cstheme="minorHAnsi"/>
        </w:rPr>
        <w:t>original issuance.</w:t>
      </w:r>
    </w:p>
    <w:p w14:paraId="13DD2ED9" w14:textId="77777777" w:rsidR="00C26EFC" w:rsidRDefault="00C26EFC" w:rsidP="00C26EFC">
      <w:pPr>
        <w:shd w:val="clear" w:color="auto" w:fill="FFFFFF"/>
        <w:rPr>
          <w:rFonts w:cstheme="minorHAnsi"/>
        </w:rPr>
      </w:pPr>
    </w:p>
    <w:p w14:paraId="275AF6ED" w14:textId="77777777" w:rsidR="002A0354" w:rsidRPr="009A0F0F" w:rsidRDefault="009A0F0F" w:rsidP="00A05A51">
      <w:pPr>
        <w:shd w:val="clear" w:color="auto" w:fill="FFFFFF"/>
        <w:rPr>
          <w:rFonts w:cstheme="minorHAnsi"/>
        </w:rPr>
      </w:pPr>
      <w:r w:rsidRPr="009A0F0F">
        <w:rPr>
          <w:rFonts w:cstheme="minorHAnsi"/>
        </w:rPr>
        <w:t xml:space="preserve">Alongside the increase in licenses and license holders in the past decade, the number of districts </w:t>
      </w:r>
      <w:r>
        <w:rPr>
          <w:rFonts w:cstheme="minorHAnsi"/>
        </w:rPr>
        <w:t xml:space="preserve">and other educational entities </w:t>
      </w:r>
      <w:r w:rsidRPr="009A0F0F">
        <w:rPr>
          <w:rFonts w:cstheme="minorHAnsi"/>
        </w:rPr>
        <w:t>employing teachers with emergency licenses also rose, from 303 di</w:t>
      </w:r>
      <w:r>
        <w:rPr>
          <w:rFonts w:cstheme="minorHAnsi"/>
        </w:rPr>
        <w:t>stricts in 2013 to 406</w:t>
      </w:r>
      <w:r w:rsidRPr="009A0F0F">
        <w:rPr>
          <w:rFonts w:cstheme="minorHAnsi"/>
        </w:rPr>
        <w:t xml:space="preserve"> in 2022</w:t>
      </w:r>
      <w:r>
        <w:rPr>
          <w:rFonts w:cstheme="minorHAnsi"/>
        </w:rPr>
        <w:t>.</w:t>
      </w:r>
      <w:r w:rsidR="00A05A51">
        <w:rPr>
          <w:rFonts w:cstheme="minorHAnsi"/>
        </w:rPr>
        <w:t xml:space="preserve"> </w:t>
      </w:r>
      <w:r w:rsidRPr="009A0F0F">
        <w:rPr>
          <w:rFonts w:cstheme="minorHAnsi"/>
        </w:rPr>
        <w:t>Although most emergency licenses are employed in urban and rural districts, the increase in their use has happened in schools across the state.</w:t>
      </w:r>
    </w:p>
    <w:p w14:paraId="67BFAF7F" w14:textId="77777777" w:rsidR="002A0354" w:rsidRDefault="002A0354" w:rsidP="00D537F1">
      <w:pPr>
        <w:pStyle w:val="Bodytext"/>
        <w:spacing w:after="0" w:line="240" w:lineRule="auto"/>
        <w:ind w:firstLine="0"/>
        <w:rPr>
          <w:rFonts w:asciiTheme="minorHAnsi" w:hAnsiTheme="minorHAnsi" w:cstheme="minorHAnsi"/>
          <w:color w:val="auto"/>
        </w:rPr>
      </w:pPr>
    </w:p>
    <w:p w14:paraId="3FBC8D54" w14:textId="77777777" w:rsidR="009A0F0F" w:rsidRDefault="009A0F0F" w:rsidP="00D537F1">
      <w:pPr>
        <w:pStyle w:val="Bodytext"/>
        <w:spacing w:after="0" w:line="240" w:lineRule="auto"/>
        <w:ind w:firstLine="0"/>
        <w:rPr>
          <w:rFonts w:asciiTheme="minorHAnsi" w:hAnsiTheme="minorHAnsi" w:cstheme="minorHAnsi"/>
          <w:color w:val="auto"/>
        </w:rPr>
      </w:pPr>
      <w:r w:rsidRPr="009A0F0F">
        <w:rPr>
          <w:rFonts w:asciiTheme="minorHAnsi" w:hAnsiTheme="minorHAnsi" w:cstheme="minorHAnsi"/>
          <w:color w:val="auto"/>
        </w:rPr>
        <w:t>The data show a large number of teachers hold on to their emergency licenses for multiple years.</w:t>
      </w:r>
      <w:r w:rsidR="00A05A51">
        <w:rPr>
          <w:rFonts w:asciiTheme="minorHAnsi" w:hAnsiTheme="minorHAnsi" w:cstheme="minorHAnsi"/>
          <w:color w:val="auto"/>
        </w:rPr>
        <w:t xml:space="preserve"> </w:t>
      </w:r>
      <w:r w:rsidR="00A05A51" w:rsidRPr="00A05A51">
        <w:rPr>
          <w:rFonts w:asciiTheme="minorHAnsi" w:hAnsiTheme="minorHAnsi" w:cstheme="minorHAnsi"/>
          <w:color w:val="auto"/>
        </w:rPr>
        <w:t>Since 2017, about 30% of individuals with an emergency license held one in a previous year, and about 10% had emergency licenses in two previous years.</w:t>
      </w:r>
    </w:p>
    <w:p w14:paraId="3F86A276" w14:textId="77777777" w:rsidR="009A0F0F" w:rsidRDefault="009A0F0F" w:rsidP="009A0F0F">
      <w:pPr>
        <w:pStyle w:val="Bodytext"/>
        <w:ind w:firstLine="0"/>
        <w:rPr>
          <w:rFonts w:asciiTheme="minorHAnsi" w:hAnsiTheme="minorHAnsi" w:cstheme="minorHAnsi"/>
          <w:color w:val="auto"/>
        </w:rPr>
      </w:pPr>
    </w:p>
    <w:p w14:paraId="2B1365A1" w14:textId="77777777" w:rsidR="00A05A51" w:rsidRDefault="009A0F0F" w:rsidP="00A05A51">
      <w:pPr>
        <w:pStyle w:val="Bodytext"/>
        <w:ind w:firstLine="0"/>
        <w:rPr>
          <w:rFonts w:asciiTheme="minorHAnsi" w:hAnsiTheme="minorHAnsi" w:cstheme="minorHAnsi"/>
          <w:color w:val="auto"/>
        </w:rPr>
      </w:pPr>
      <w:r w:rsidRPr="009A0F0F">
        <w:rPr>
          <w:rFonts w:asciiTheme="minorHAnsi" w:hAnsiTheme="minorHAnsi" w:cstheme="minorHAnsi"/>
          <w:color w:val="auto"/>
        </w:rPr>
        <w:t>Districts have long faced hiring challenges, but teacher shortage concerns now are more prevalent. The emergency licensure trend bolsters the case that districts face greater difficulties in hiring enough teachers through traditional avenues.</w:t>
      </w:r>
      <w:r w:rsidR="00A05A51">
        <w:rPr>
          <w:rFonts w:asciiTheme="minorHAnsi" w:hAnsiTheme="minorHAnsi" w:cstheme="minorHAnsi"/>
          <w:color w:val="auto"/>
        </w:rPr>
        <w:t xml:space="preserve"> </w:t>
      </w:r>
      <w:r w:rsidRPr="009A0F0F">
        <w:rPr>
          <w:rFonts w:asciiTheme="minorHAnsi" w:hAnsiTheme="minorHAnsi" w:cstheme="minorHAnsi"/>
          <w:color w:val="auto"/>
        </w:rPr>
        <w:t>Policymakers may wish to consider this trend as they debate how to address teacher shortages, and broader</w:t>
      </w:r>
      <w:r w:rsidR="00A05A51">
        <w:rPr>
          <w:rFonts w:asciiTheme="minorHAnsi" w:hAnsiTheme="minorHAnsi" w:cstheme="minorHAnsi"/>
          <w:color w:val="auto"/>
        </w:rPr>
        <w:t xml:space="preserve"> issues such as school funding.</w:t>
      </w:r>
    </w:p>
    <w:p w14:paraId="222EA662" w14:textId="77777777" w:rsidR="00A05A51" w:rsidRDefault="00A05A51" w:rsidP="00A05A51">
      <w:pPr>
        <w:pStyle w:val="Bodytext"/>
        <w:ind w:firstLine="0"/>
        <w:rPr>
          <w:rFonts w:asciiTheme="minorHAnsi" w:hAnsiTheme="minorHAnsi" w:cstheme="minorHAnsi"/>
          <w:color w:val="auto"/>
        </w:rPr>
      </w:pPr>
    </w:p>
    <w:p w14:paraId="72B1CFB8" w14:textId="77777777" w:rsidR="00A05A51" w:rsidRDefault="00A05A51" w:rsidP="00A05A51">
      <w:pPr>
        <w:pStyle w:val="Bodytext"/>
        <w:ind w:firstLine="0"/>
        <w:rPr>
          <w:rFonts w:asciiTheme="minorHAnsi" w:hAnsiTheme="minorHAnsi" w:cstheme="minorHAnsi"/>
          <w:color w:val="auto"/>
        </w:rPr>
      </w:pPr>
      <w:r>
        <w:rPr>
          <w:rFonts w:asciiTheme="minorHAnsi" w:hAnsiTheme="minorHAnsi" w:cstheme="minorHAnsi"/>
          <w:color w:val="auto"/>
        </w:rPr>
        <w:t xml:space="preserve">Emergency licenses </w:t>
      </w:r>
      <w:r w:rsidRPr="00A05A51">
        <w:rPr>
          <w:rFonts w:asciiTheme="minorHAnsi" w:hAnsiTheme="minorHAnsi" w:cstheme="minorHAnsi"/>
          <w:color w:val="auto"/>
        </w:rPr>
        <w:t xml:space="preserve">appear to increasingly provide an alternative process for training new teachers. Rather than completing an educational degree program and then obtaining a post, </w:t>
      </w:r>
      <w:r w:rsidR="009A61AB">
        <w:rPr>
          <w:rFonts w:asciiTheme="minorHAnsi" w:hAnsiTheme="minorHAnsi" w:cstheme="minorHAnsi"/>
          <w:color w:val="auto"/>
        </w:rPr>
        <w:t xml:space="preserve">these </w:t>
      </w:r>
      <w:r w:rsidRPr="00A05A51">
        <w:rPr>
          <w:rFonts w:asciiTheme="minorHAnsi" w:hAnsiTheme="minorHAnsi" w:cstheme="minorHAnsi"/>
          <w:color w:val="auto"/>
        </w:rPr>
        <w:t>candidates are landing the job first and then obtaining the license and the education.</w:t>
      </w:r>
      <w:r w:rsidR="009A61AB">
        <w:rPr>
          <w:rFonts w:asciiTheme="minorHAnsi" w:hAnsiTheme="minorHAnsi" w:cstheme="minorHAnsi"/>
          <w:color w:val="auto"/>
        </w:rPr>
        <w:t xml:space="preserve"> As such, </w:t>
      </w:r>
      <w:r>
        <w:rPr>
          <w:rFonts w:asciiTheme="minorHAnsi" w:hAnsiTheme="minorHAnsi" w:cstheme="minorHAnsi"/>
          <w:color w:val="auto"/>
        </w:rPr>
        <w:t>i</w:t>
      </w:r>
      <w:r w:rsidR="009A0F0F" w:rsidRPr="009A0F0F">
        <w:rPr>
          <w:rFonts w:asciiTheme="minorHAnsi" w:hAnsiTheme="minorHAnsi" w:cstheme="minorHAnsi"/>
          <w:color w:val="auto"/>
        </w:rPr>
        <w:t>t'</w:t>
      </w:r>
      <w:r>
        <w:rPr>
          <w:rFonts w:asciiTheme="minorHAnsi" w:hAnsiTheme="minorHAnsi" w:cstheme="minorHAnsi"/>
          <w:color w:val="auto"/>
        </w:rPr>
        <w:t xml:space="preserve">s key to ensure that new </w:t>
      </w:r>
      <w:r w:rsidR="009A61AB">
        <w:rPr>
          <w:rFonts w:asciiTheme="minorHAnsi" w:hAnsiTheme="minorHAnsi" w:cstheme="minorHAnsi"/>
          <w:color w:val="auto"/>
        </w:rPr>
        <w:t xml:space="preserve">teaching </w:t>
      </w:r>
      <w:r w:rsidR="009A0F0F" w:rsidRPr="009A0F0F">
        <w:rPr>
          <w:rFonts w:asciiTheme="minorHAnsi" w:hAnsiTheme="minorHAnsi" w:cstheme="minorHAnsi"/>
          <w:color w:val="auto"/>
        </w:rPr>
        <w:t>hires with no classroom experience receive sufficient mentorship and training.</w:t>
      </w:r>
    </w:p>
    <w:p w14:paraId="2A7AC90B" w14:textId="77777777" w:rsidR="00A05A51" w:rsidRDefault="00A05A51" w:rsidP="00A05A51">
      <w:pPr>
        <w:pStyle w:val="Bodytext"/>
        <w:ind w:firstLine="0"/>
        <w:rPr>
          <w:rFonts w:asciiTheme="minorHAnsi" w:hAnsiTheme="minorHAnsi" w:cstheme="minorHAnsi"/>
          <w:color w:val="auto"/>
        </w:rPr>
      </w:pPr>
    </w:p>
    <w:p w14:paraId="437F86EF" w14:textId="77777777" w:rsidR="00945294" w:rsidRPr="00D537F1" w:rsidRDefault="00651D3B" w:rsidP="00A05A51">
      <w:pPr>
        <w:pStyle w:val="Bodytext"/>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361070">
    <w:abstractNumId w:val="8"/>
  </w:num>
  <w:num w:numId="2" w16cid:durableId="1353260311">
    <w:abstractNumId w:val="7"/>
  </w:num>
  <w:num w:numId="3" w16cid:durableId="217514477">
    <w:abstractNumId w:val="16"/>
  </w:num>
  <w:num w:numId="4" w16cid:durableId="1729383034">
    <w:abstractNumId w:val="0"/>
  </w:num>
  <w:num w:numId="5" w16cid:durableId="18239751">
    <w:abstractNumId w:val="18"/>
  </w:num>
  <w:num w:numId="6" w16cid:durableId="1053968892">
    <w:abstractNumId w:val="17"/>
  </w:num>
  <w:num w:numId="7" w16cid:durableId="1623539217">
    <w:abstractNumId w:val="9"/>
  </w:num>
  <w:num w:numId="8" w16cid:durableId="2133670287">
    <w:abstractNumId w:val="22"/>
  </w:num>
  <w:num w:numId="9" w16cid:durableId="43256612">
    <w:abstractNumId w:val="6"/>
  </w:num>
  <w:num w:numId="10" w16cid:durableId="575555513">
    <w:abstractNumId w:val="10"/>
  </w:num>
  <w:num w:numId="11" w16cid:durableId="687408329">
    <w:abstractNumId w:val="23"/>
  </w:num>
  <w:num w:numId="12" w16cid:durableId="173806791">
    <w:abstractNumId w:val="20"/>
  </w:num>
  <w:num w:numId="13" w16cid:durableId="1427459650">
    <w:abstractNumId w:val="14"/>
  </w:num>
  <w:num w:numId="14" w16cid:durableId="1114058312">
    <w:abstractNumId w:val="5"/>
  </w:num>
  <w:num w:numId="15" w16cid:durableId="1856189893">
    <w:abstractNumId w:val="4"/>
  </w:num>
  <w:num w:numId="16" w16cid:durableId="1251423993">
    <w:abstractNumId w:val="19"/>
  </w:num>
  <w:num w:numId="17" w16cid:durableId="1254515106">
    <w:abstractNumId w:val="21"/>
  </w:num>
  <w:num w:numId="18" w16cid:durableId="1569343431">
    <w:abstractNumId w:val="24"/>
  </w:num>
  <w:num w:numId="19" w16cid:durableId="1467240774">
    <w:abstractNumId w:val="15"/>
  </w:num>
  <w:num w:numId="20" w16cid:durableId="54162502">
    <w:abstractNumId w:val="13"/>
  </w:num>
  <w:num w:numId="21" w16cid:durableId="1367830257">
    <w:abstractNumId w:val="1"/>
  </w:num>
  <w:num w:numId="22" w16cid:durableId="464811914">
    <w:abstractNumId w:val="3"/>
  </w:num>
  <w:num w:numId="23" w16cid:durableId="107773775">
    <w:abstractNumId w:val="11"/>
  </w:num>
  <w:num w:numId="24" w16cid:durableId="44524425">
    <w:abstractNumId w:val="12"/>
  </w:num>
  <w:num w:numId="25" w16cid:durableId="405691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C6E57"/>
    <w:rsid w:val="000D07F5"/>
    <w:rsid w:val="000D1C1A"/>
    <w:rsid w:val="000E2288"/>
    <w:rsid w:val="000E7026"/>
    <w:rsid w:val="000E7713"/>
    <w:rsid w:val="000F3E7E"/>
    <w:rsid w:val="000F737A"/>
    <w:rsid w:val="0010157E"/>
    <w:rsid w:val="00101D3B"/>
    <w:rsid w:val="00105962"/>
    <w:rsid w:val="001078EB"/>
    <w:rsid w:val="00110370"/>
    <w:rsid w:val="0011752A"/>
    <w:rsid w:val="00117B41"/>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402B"/>
    <w:rsid w:val="00177990"/>
    <w:rsid w:val="00192F8C"/>
    <w:rsid w:val="001A29F1"/>
    <w:rsid w:val="001A4472"/>
    <w:rsid w:val="001B7D67"/>
    <w:rsid w:val="001C25DB"/>
    <w:rsid w:val="001C2D29"/>
    <w:rsid w:val="001D1A21"/>
    <w:rsid w:val="001D24C0"/>
    <w:rsid w:val="001D5348"/>
    <w:rsid w:val="001D6EFB"/>
    <w:rsid w:val="001D7218"/>
    <w:rsid w:val="001E0ED0"/>
    <w:rsid w:val="001E7246"/>
    <w:rsid w:val="001F3699"/>
    <w:rsid w:val="001F391C"/>
    <w:rsid w:val="001F4973"/>
    <w:rsid w:val="001F7D21"/>
    <w:rsid w:val="001F7D95"/>
    <w:rsid w:val="00200C75"/>
    <w:rsid w:val="0020559F"/>
    <w:rsid w:val="00207698"/>
    <w:rsid w:val="00210928"/>
    <w:rsid w:val="002109B2"/>
    <w:rsid w:val="00213082"/>
    <w:rsid w:val="002133C0"/>
    <w:rsid w:val="00217DFF"/>
    <w:rsid w:val="00224F99"/>
    <w:rsid w:val="00225119"/>
    <w:rsid w:val="00227FF5"/>
    <w:rsid w:val="00231F8B"/>
    <w:rsid w:val="002357EC"/>
    <w:rsid w:val="0023635F"/>
    <w:rsid w:val="0023647E"/>
    <w:rsid w:val="002375CE"/>
    <w:rsid w:val="002464D9"/>
    <w:rsid w:val="00252D19"/>
    <w:rsid w:val="00252F46"/>
    <w:rsid w:val="00256FE8"/>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41FD"/>
    <w:rsid w:val="002A5073"/>
    <w:rsid w:val="002B1A77"/>
    <w:rsid w:val="002B3033"/>
    <w:rsid w:val="002B5414"/>
    <w:rsid w:val="002C2368"/>
    <w:rsid w:val="002C5B60"/>
    <w:rsid w:val="002C5D27"/>
    <w:rsid w:val="002C64F1"/>
    <w:rsid w:val="002D0545"/>
    <w:rsid w:val="002D0D20"/>
    <w:rsid w:val="002D59AC"/>
    <w:rsid w:val="002E0FDC"/>
    <w:rsid w:val="002E1450"/>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7249B"/>
    <w:rsid w:val="003756BA"/>
    <w:rsid w:val="00375B61"/>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F66"/>
    <w:rsid w:val="00482A02"/>
    <w:rsid w:val="00483581"/>
    <w:rsid w:val="00485425"/>
    <w:rsid w:val="0048559B"/>
    <w:rsid w:val="00493AC3"/>
    <w:rsid w:val="00495534"/>
    <w:rsid w:val="004956A5"/>
    <w:rsid w:val="004975AD"/>
    <w:rsid w:val="004A0708"/>
    <w:rsid w:val="004A1813"/>
    <w:rsid w:val="004A27BF"/>
    <w:rsid w:val="004A563E"/>
    <w:rsid w:val="004B2F6E"/>
    <w:rsid w:val="004B61E2"/>
    <w:rsid w:val="004B7233"/>
    <w:rsid w:val="004C2D13"/>
    <w:rsid w:val="004C2F8E"/>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2E1D"/>
    <w:rsid w:val="00514C5B"/>
    <w:rsid w:val="00514FC9"/>
    <w:rsid w:val="00515082"/>
    <w:rsid w:val="00515830"/>
    <w:rsid w:val="0052059C"/>
    <w:rsid w:val="00521038"/>
    <w:rsid w:val="0052197F"/>
    <w:rsid w:val="00524EA9"/>
    <w:rsid w:val="005256D6"/>
    <w:rsid w:val="0053293F"/>
    <w:rsid w:val="00534132"/>
    <w:rsid w:val="005429A0"/>
    <w:rsid w:val="0054373F"/>
    <w:rsid w:val="005453AD"/>
    <w:rsid w:val="00547FAA"/>
    <w:rsid w:val="005508D9"/>
    <w:rsid w:val="005515DE"/>
    <w:rsid w:val="005530C2"/>
    <w:rsid w:val="00556BBA"/>
    <w:rsid w:val="00563C7B"/>
    <w:rsid w:val="0056442E"/>
    <w:rsid w:val="005672F6"/>
    <w:rsid w:val="005713B1"/>
    <w:rsid w:val="0057766D"/>
    <w:rsid w:val="005845ED"/>
    <w:rsid w:val="0058749E"/>
    <w:rsid w:val="00592322"/>
    <w:rsid w:val="00592D78"/>
    <w:rsid w:val="00596BA0"/>
    <w:rsid w:val="005A7A83"/>
    <w:rsid w:val="005C05D5"/>
    <w:rsid w:val="005C607D"/>
    <w:rsid w:val="005D1C9A"/>
    <w:rsid w:val="005D3FDB"/>
    <w:rsid w:val="005E0DCD"/>
    <w:rsid w:val="005F55FF"/>
    <w:rsid w:val="005F76DA"/>
    <w:rsid w:val="006007CB"/>
    <w:rsid w:val="00605011"/>
    <w:rsid w:val="0060634B"/>
    <w:rsid w:val="00611CEA"/>
    <w:rsid w:val="00612545"/>
    <w:rsid w:val="00613981"/>
    <w:rsid w:val="006169EF"/>
    <w:rsid w:val="00620A16"/>
    <w:rsid w:val="00622418"/>
    <w:rsid w:val="0062290D"/>
    <w:rsid w:val="00624422"/>
    <w:rsid w:val="006322CA"/>
    <w:rsid w:val="006331E2"/>
    <w:rsid w:val="0063396E"/>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A7F0F"/>
    <w:rsid w:val="006B5F18"/>
    <w:rsid w:val="006B6991"/>
    <w:rsid w:val="006B7983"/>
    <w:rsid w:val="006C1B31"/>
    <w:rsid w:val="006C3933"/>
    <w:rsid w:val="006C62AA"/>
    <w:rsid w:val="006C7DB7"/>
    <w:rsid w:val="006D0FA9"/>
    <w:rsid w:val="006D11B5"/>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D7F47"/>
    <w:rsid w:val="007E32AA"/>
    <w:rsid w:val="007E524C"/>
    <w:rsid w:val="007E53DA"/>
    <w:rsid w:val="007F148D"/>
    <w:rsid w:val="007F2C54"/>
    <w:rsid w:val="007F4F93"/>
    <w:rsid w:val="007F7990"/>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90949"/>
    <w:rsid w:val="009A0F0F"/>
    <w:rsid w:val="009A1E19"/>
    <w:rsid w:val="009A47F6"/>
    <w:rsid w:val="009A61AB"/>
    <w:rsid w:val="009B2019"/>
    <w:rsid w:val="009B41BB"/>
    <w:rsid w:val="009C226D"/>
    <w:rsid w:val="009C2C0E"/>
    <w:rsid w:val="009C3AF7"/>
    <w:rsid w:val="009D0BAA"/>
    <w:rsid w:val="009D3653"/>
    <w:rsid w:val="009D3EF9"/>
    <w:rsid w:val="009D5F15"/>
    <w:rsid w:val="009E1C3A"/>
    <w:rsid w:val="009E3105"/>
    <w:rsid w:val="009E5F03"/>
    <w:rsid w:val="009E6A91"/>
    <w:rsid w:val="009E7E4A"/>
    <w:rsid w:val="009F1C81"/>
    <w:rsid w:val="009F271F"/>
    <w:rsid w:val="00A05A51"/>
    <w:rsid w:val="00A11162"/>
    <w:rsid w:val="00A11524"/>
    <w:rsid w:val="00A13067"/>
    <w:rsid w:val="00A24A8B"/>
    <w:rsid w:val="00A27D77"/>
    <w:rsid w:val="00A331AB"/>
    <w:rsid w:val="00A3662D"/>
    <w:rsid w:val="00A4700F"/>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0997"/>
    <w:rsid w:val="00AD1C94"/>
    <w:rsid w:val="00AD4EE8"/>
    <w:rsid w:val="00AE4AFA"/>
    <w:rsid w:val="00AE7970"/>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D0D"/>
    <w:rsid w:val="00B52F36"/>
    <w:rsid w:val="00B55B40"/>
    <w:rsid w:val="00B55D2A"/>
    <w:rsid w:val="00B6478A"/>
    <w:rsid w:val="00B64B97"/>
    <w:rsid w:val="00B650DF"/>
    <w:rsid w:val="00B6560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0EC5"/>
    <w:rsid w:val="00C0327E"/>
    <w:rsid w:val="00C0699F"/>
    <w:rsid w:val="00C11896"/>
    <w:rsid w:val="00C12E83"/>
    <w:rsid w:val="00C15843"/>
    <w:rsid w:val="00C16BA3"/>
    <w:rsid w:val="00C24E91"/>
    <w:rsid w:val="00C2579D"/>
    <w:rsid w:val="00C26A6F"/>
    <w:rsid w:val="00C26EFC"/>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F"/>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1B35"/>
    <w:rsid w:val="00CF54A1"/>
    <w:rsid w:val="00CF7346"/>
    <w:rsid w:val="00CF7C3B"/>
    <w:rsid w:val="00D07387"/>
    <w:rsid w:val="00D10204"/>
    <w:rsid w:val="00D11204"/>
    <w:rsid w:val="00D116DF"/>
    <w:rsid w:val="00D1335A"/>
    <w:rsid w:val="00D17DD6"/>
    <w:rsid w:val="00D21351"/>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1EC5"/>
    <w:rsid w:val="00D8430B"/>
    <w:rsid w:val="00D86566"/>
    <w:rsid w:val="00D879CB"/>
    <w:rsid w:val="00D90BD6"/>
    <w:rsid w:val="00D9374B"/>
    <w:rsid w:val="00D95462"/>
    <w:rsid w:val="00D9668C"/>
    <w:rsid w:val="00DA1541"/>
    <w:rsid w:val="00DA7489"/>
    <w:rsid w:val="00DA7A11"/>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6596"/>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0EA5"/>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6BD6"/>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2</cp:revision>
  <dcterms:created xsi:type="dcterms:W3CDTF">2023-03-21T17:34:00Z</dcterms:created>
  <dcterms:modified xsi:type="dcterms:W3CDTF">2023-03-21T17:34:00Z</dcterms:modified>
</cp:coreProperties>
</file>