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35" w:rsidRDefault="00945294" w:rsidP="00BD3324">
      <w:pPr>
        <w:shd w:val="clear" w:color="auto" w:fill="FFFFFF"/>
        <w:rPr>
          <w:rFonts w:cstheme="minorHAnsi"/>
          <w:b/>
        </w:rPr>
      </w:pPr>
      <w:r w:rsidRPr="00D537F1">
        <w:rPr>
          <w:rFonts w:cstheme="minorHAnsi"/>
          <w:b/>
        </w:rPr>
        <w:t>Fiscal Facts:</w:t>
      </w:r>
      <w:r w:rsidR="003E2271">
        <w:rPr>
          <w:rFonts w:cstheme="minorHAnsi"/>
          <w:b/>
        </w:rPr>
        <w:t xml:space="preserve"> </w:t>
      </w:r>
      <w:r w:rsidR="003E2271" w:rsidRPr="003E2271">
        <w:rPr>
          <w:rFonts w:cstheme="minorHAnsi"/>
          <w:b/>
        </w:rPr>
        <w:t>Public Sector Workforce Takes a Hit</w:t>
      </w:r>
    </w:p>
    <w:p w:rsidR="00F26045" w:rsidRDefault="00F26045" w:rsidP="00BD3324">
      <w:pPr>
        <w:shd w:val="clear" w:color="auto" w:fill="FFFFFF"/>
        <w:rPr>
          <w:rFonts w:cstheme="minorHAnsi"/>
        </w:rPr>
      </w:pPr>
    </w:p>
    <w:p w:rsidR="00F26045" w:rsidRDefault="00F26045" w:rsidP="00F26045">
      <w:pPr>
        <w:shd w:val="clear" w:color="auto" w:fill="FFFFFF"/>
        <w:rPr>
          <w:rFonts w:cstheme="minorHAnsi"/>
        </w:rPr>
      </w:pPr>
      <w:r w:rsidRPr="00F26045">
        <w:rPr>
          <w:rFonts w:cstheme="minorHAnsi"/>
        </w:rPr>
        <w:t>Amid a historically tight labor market, reports from Wisconsin’s largest public employee retirement systems show that between retirements and other exits, state and local employees left thei</w:t>
      </w:r>
      <w:r>
        <w:rPr>
          <w:rFonts w:cstheme="minorHAnsi"/>
        </w:rPr>
        <w:t>r jobs at record rates in 2021.</w:t>
      </w:r>
    </w:p>
    <w:p w:rsidR="00F26045" w:rsidRDefault="00F26045" w:rsidP="00F26045">
      <w:pPr>
        <w:shd w:val="clear" w:color="auto" w:fill="FFFFFF"/>
        <w:rPr>
          <w:rFonts w:cstheme="minorHAnsi"/>
        </w:rPr>
      </w:pPr>
    </w:p>
    <w:p w:rsidR="00F26045" w:rsidRPr="00F26045" w:rsidRDefault="00F26045" w:rsidP="00F26045">
      <w:pPr>
        <w:shd w:val="clear" w:color="auto" w:fill="FFFFFF"/>
        <w:rPr>
          <w:rFonts w:cstheme="minorHAnsi"/>
        </w:rPr>
      </w:pPr>
      <w:r w:rsidRPr="00F26045">
        <w:rPr>
          <w:rFonts w:cstheme="minorHAnsi"/>
        </w:rPr>
        <w:t>While most of those workers have been replaced, the increase in turnover raises questions about the public sector’s ongoing ability to fill critical positions and merits the consideration of policymakers.</w:t>
      </w:r>
    </w:p>
    <w:p w:rsidR="00F26045" w:rsidRPr="00F26045" w:rsidRDefault="00F26045" w:rsidP="00F26045">
      <w:pPr>
        <w:shd w:val="clear" w:color="auto" w:fill="FFFFFF"/>
        <w:rPr>
          <w:rFonts w:cstheme="minorHAnsi"/>
        </w:rPr>
      </w:pPr>
    </w:p>
    <w:p w:rsidR="00F26045" w:rsidRDefault="00F26045" w:rsidP="00F26045">
      <w:pPr>
        <w:shd w:val="clear" w:color="auto" w:fill="FFFFFF"/>
        <w:rPr>
          <w:rFonts w:cstheme="minorHAnsi"/>
        </w:rPr>
      </w:pPr>
      <w:r w:rsidRPr="00F26045">
        <w:rPr>
          <w:rFonts w:cstheme="minorHAnsi"/>
        </w:rPr>
        <w:t>In 2021, 17,646 individuals left the ranks of the Wisconsin Retirement System’s (WRS) active employees for reasons besides retirement, death, or disability. That was the most since at least 2002 and exceeded the next highest year on rec</w:t>
      </w:r>
      <w:r>
        <w:rPr>
          <w:rFonts w:cstheme="minorHAnsi"/>
        </w:rPr>
        <w:t>ord by more than 2,000 workers.</w:t>
      </w:r>
    </w:p>
    <w:p w:rsidR="00F26045" w:rsidRDefault="00F26045" w:rsidP="00F26045">
      <w:pPr>
        <w:shd w:val="clear" w:color="auto" w:fill="FFFFFF"/>
        <w:rPr>
          <w:rFonts w:cstheme="minorHAnsi"/>
        </w:rPr>
      </w:pPr>
    </w:p>
    <w:p w:rsidR="001A4472" w:rsidRDefault="00F26045" w:rsidP="00F26045">
      <w:pPr>
        <w:shd w:val="clear" w:color="auto" w:fill="FFFFFF"/>
        <w:rPr>
          <w:rFonts w:cstheme="minorHAnsi"/>
        </w:rPr>
      </w:pPr>
      <w:r w:rsidRPr="00F26045">
        <w:rPr>
          <w:rFonts w:cstheme="minorHAnsi"/>
        </w:rPr>
        <w:t>Overall, more than one in 10 WRS members who started 2021 as a state or local employee left their job or active status over the course of the year – another first in the available data.</w:t>
      </w:r>
      <w:r w:rsidR="001A4472">
        <w:rPr>
          <w:rFonts w:cstheme="minorHAnsi"/>
        </w:rPr>
        <w:t xml:space="preserve"> While t</w:t>
      </w:r>
      <w:r w:rsidR="001A4472" w:rsidRPr="001A4472">
        <w:rPr>
          <w:rFonts w:cstheme="minorHAnsi"/>
        </w:rPr>
        <w:t>hese WRS data do not cover every type of public employee, they include more than 250,000 teachers, police officers, prison guards, and university employees from hundreds of local governments, school</w:t>
      </w:r>
      <w:r w:rsidR="001A4472">
        <w:rPr>
          <w:rFonts w:cstheme="minorHAnsi"/>
        </w:rPr>
        <w:t xml:space="preserve"> districts, and state agencies.</w:t>
      </w:r>
    </w:p>
    <w:p w:rsidR="001A4472" w:rsidRDefault="001A4472" w:rsidP="00F26045">
      <w:pPr>
        <w:shd w:val="clear" w:color="auto" w:fill="FFFFFF"/>
        <w:rPr>
          <w:rFonts w:cstheme="minorHAnsi"/>
        </w:rPr>
      </w:pPr>
    </w:p>
    <w:p w:rsidR="001A4472" w:rsidRDefault="001A4472" w:rsidP="00F26045">
      <w:pPr>
        <w:shd w:val="clear" w:color="auto" w:fill="FFFFFF"/>
        <w:rPr>
          <w:rFonts w:cstheme="minorHAnsi"/>
        </w:rPr>
      </w:pPr>
      <w:r w:rsidRPr="001A4472">
        <w:rPr>
          <w:rFonts w:cstheme="minorHAnsi"/>
        </w:rPr>
        <w:t>There are various reasons why a member of a retirement system may leave active status. Yet two reasons make up a vast majority of all departures: a normal or early retire</w:t>
      </w:r>
      <w:r>
        <w:rPr>
          <w:rFonts w:cstheme="minorHAnsi"/>
        </w:rPr>
        <w:t xml:space="preserve">ment and “other separations,” including </w:t>
      </w:r>
      <w:r w:rsidRPr="001A4472">
        <w:rPr>
          <w:rFonts w:cstheme="minorHAnsi"/>
        </w:rPr>
        <w:t>those who leave because they</w:t>
      </w:r>
      <w:r>
        <w:rPr>
          <w:rFonts w:cstheme="minorHAnsi"/>
        </w:rPr>
        <w:t xml:space="preserve"> took a different job or beca</w:t>
      </w:r>
      <w:r w:rsidRPr="001A4472">
        <w:rPr>
          <w:rFonts w:cstheme="minorHAnsi"/>
        </w:rPr>
        <w:t>me unem</w:t>
      </w:r>
      <w:r>
        <w:rPr>
          <w:rFonts w:cstheme="minorHAnsi"/>
        </w:rPr>
        <w:t>ployed.</w:t>
      </w:r>
    </w:p>
    <w:p w:rsidR="001A4472" w:rsidRDefault="001A4472" w:rsidP="00F26045">
      <w:pPr>
        <w:shd w:val="clear" w:color="auto" w:fill="FFFFFF"/>
        <w:rPr>
          <w:rFonts w:cstheme="minorHAnsi"/>
        </w:rPr>
      </w:pPr>
    </w:p>
    <w:p w:rsidR="001A4472" w:rsidRPr="001A4472" w:rsidRDefault="001A4472" w:rsidP="001A4472">
      <w:pPr>
        <w:shd w:val="clear" w:color="auto" w:fill="FFFFFF"/>
        <w:rPr>
          <w:rFonts w:cstheme="minorHAnsi"/>
        </w:rPr>
      </w:pPr>
      <w:r>
        <w:rPr>
          <w:rFonts w:cstheme="minorHAnsi"/>
        </w:rPr>
        <w:t>M</w:t>
      </w:r>
      <w:r w:rsidRPr="001A4472">
        <w:rPr>
          <w:rFonts w:cstheme="minorHAnsi"/>
        </w:rPr>
        <w:t>ore than 8,100 individuals within WRS retired in both 2020 (8,151) and 2021 (8,303). The only other year since 2002 in which retirement reached that level was in 2011</w:t>
      </w:r>
      <w:r>
        <w:rPr>
          <w:rFonts w:cstheme="minorHAnsi"/>
        </w:rPr>
        <w:t xml:space="preserve">, following </w:t>
      </w:r>
      <w:r w:rsidRPr="001A4472">
        <w:rPr>
          <w:rFonts w:cstheme="minorHAnsi"/>
        </w:rPr>
        <w:t>pa</w:t>
      </w:r>
      <w:r>
        <w:rPr>
          <w:rFonts w:cstheme="minorHAnsi"/>
        </w:rPr>
        <w:t xml:space="preserve">ssage of 2011 Wisconsin Act 10, </w:t>
      </w:r>
      <w:r w:rsidRPr="001A4472">
        <w:rPr>
          <w:rFonts w:cstheme="minorHAnsi"/>
        </w:rPr>
        <w:t>which eliminated most collective bargaining fo</w:t>
      </w:r>
      <w:r>
        <w:rPr>
          <w:rFonts w:cstheme="minorHAnsi"/>
        </w:rPr>
        <w:t>r most state and local workers.</w:t>
      </w:r>
    </w:p>
    <w:p w:rsidR="001A4472" w:rsidRPr="001A4472" w:rsidRDefault="001A4472" w:rsidP="001A4472">
      <w:pPr>
        <w:shd w:val="clear" w:color="auto" w:fill="FFFFFF"/>
        <w:rPr>
          <w:rFonts w:cstheme="minorHAnsi"/>
        </w:rPr>
      </w:pPr>
    </w:p>
    <w:p w:rsidR="001A4472" w:rsidRDefault="001A4472" w:rsidP="001A4472">
      <w:pPr>
        <w:shd w:val="clear" w:color="auto" w:fill="FFFFFF"/>
        <w:rPr>
          <w:rFonts w:cstheme="minorHAnsi"/>
        </w:rPr>
      </w:pPr>
      <w:r w:rsidRPr="001A4472">
        <w:rPr>
          <w:rFonts w:cstheme="minorHAnsi"/>
        </w:rPr>
        <w:t>The 17,646 individuals who left active WRS status due to “other separations” in</w:t>
      </w:r>
      <w:r w:rsidR="004B2F6E">
        <w:rPr>
          <w:rFonts w:cstheme="minorHAnsi"/>
        </w:rPr>
        <w:t xml:space="preserve"> 2021 were by far the largest for that category for a single year. Combined with </w:t>
      </w:r>
      <w:r w:rsidRPr="001A4472">
        <w:rPr>
          <w:rFonts w:cstheme="minorHAnsi"/>
        </w:rPr>
        <w:t>other smaller factors, 26,237 WRS members became inactive during 2021 –</w:t>
      </w:r>
      <w:r w:rsidR="0034186F">
        <w:rPr>
          <w:rFonts w:cstheme="minorHAnsi"/>
        </w:rPr>
        <w:t xml:space="preserve"> </w:t>
      </w:r>
      <w:r w:rsidRPr="001A4472">
        <w:rPr>
          <w:rFonts w:cstheme="minorHAnsi"/>
        </w:rPr>
        <w:t>the lar</w:t>
      </w:r>
      <w:r w:rsidR="0034186F">
        <w:rPr>
          <w:rFonts w:cstheme="minorHAnsi"/>
        </w:rPr>
        <w:t>gest total since at least 2002.</w:t>
      </w:r>
    </w:p>
    <w:p w:rsidR="001A4472" w:rsidRDefault="001A4472" w:rsidP="001A4472">
      <w:pPr>
        <w:shd w:val="clear" w:color="auto" w:fill="FFFFFF"/>
        <w:rPr>
          <w:rFonts w:cstheme="minorHAnsi"/>
        </w:rPr>
      </w:pPr>
    </w:p>
    <w:p w:rsidR="00742C90" w:rsidRPr="001A4472" w:rsidRDefault="00742C90" w:rsidP="00742C90">
      <w:pPr>
        <w:shd w:val="clear" w:color="auto" w:fill="FFFFFF"/>
        <w:rPr>
          <w:rFonts w:cstheme="minorHAnsi"/>
        </w:rPr>
      </w:pPr>
      <w:r w:rsidRPr="001A4472">
        <w:rPr>
          <w:rFonts w:cstheme="minorHAnsi"/>
        </w:rPr>
        <w:t xml:space="preserve">The higher WRS retirements over the </w:t>
      </w:r>
      <w:r>
        <w:rPr>
          <w:rFonts w:cstheme="minorHAnsi"/>
        </w:rPr>
        <w:t>past two years are due in part</w:t>
      </w:r>
      <w:r w:rsidRPr="001A4472">
        <w:rPr>
          <w:rFonts w:cstheme="minorHAnsi"/>
        </w:rPr>
        <w:t xml:space="preserve"> to demographics, as Wisconsin’s workf</w:t>
      </w:r>
      <w:r>
        <w:rPr>
          <w:rFonts w:cstheme="minorHAnsi"/>
        </w:rPr>
        <w:t xml:space="preserve">orce is aging and more </w:t>
      </w:r>
      <w:r w:rsidRPr="001A4472">
        <w:rPr>
          <w:rFonts w:cstheme="minorHAnsi"/>
        </w:rPr>
        <w:t>individuals are reaching retirement age. That said</w:t>
      </w:r>
      <w:r>
        <w:rPr>
          <w:rFonts w:cstheme="minorHAnsi"/>
        </w:rPr>
        <w:t xml:space="preserve">, the COVID-19 pandemic and </w:t>
      </w:r>
      <w:r w:rsidRPr="001A4472">
        <w:rPr>
          <w:rFonts w:cstheme="minorHAnsi"/>
        </w:rPr>
        <w:t>challenges in labor markets may have bo</w:t>
      </w:r>
      <w:r>
        <w:rPr>
          <w:rFonts w:cstheme="minorHAnsi"/>
        </w:rPr>
        <w:t xml:space="preserve">osted retirements and </w:t>
      </w:r>
      <w:r w:rsidRPr="001A4472">
        <w:rPr>
          <w:rFonts w:cstheme="minorHAnsi"/>
        </w:rPr>
        <w:t>increased other departures.</w:t>
      </w:r>
    </w:p>
    <w:p w:rsidR="00742C90" w:rsidRDefault="00742C90" w:rsidP="001A4472">
      <w:pPr>
        <w:shd w:val="clear" w:color="auto" w:fill="FFFFFF"/>
        <w:rPr>
          <w:rFonts w:cstheme="minorHAnsi"/>
        </w:rPr>
      </w:pPr>
    </w:p>
    <w:p w:rsidR="001A4472" w:rsidRPr="001A4472" w:rsidRDefault="001A4472" w:rsidP="001A4472">
      <w:pPr>
        <w:shd w:val="clear" w:color="auto" w:fill="FFFFFF"/>
        <w:rPr>
          <w:rFonts w:cstheme="minorHAnsi"/>
        </w:rPr>
      </w:pPr>
      <w:r w:rsidRPr="001A4472">
        <w:rPr>
          <w:rFonts w:cstheme="minorHAnsi"/>
        </w:rPr>
        <w:t xml:space="preserve">Given the state’s aging workforce and tight labor market, both the public and private sectors in Wisconsin will continue to face labor challenges. These trends may not be bad in every respect. However, if active workers continue to leave the public sector at high rates, that could put pressure on </w:t>
      </w:r>
      <w:r w:rsidR="003479AE">
        <w:rPr>
          <w:rFonts w:cstheme="minorHAnsi"/>
        </w:rPr>
        <w:t xml:space="preserve">elected leaders to raise worker </w:t>
      </w:r>
      <w:r w:rsidRPr="001A4472">
        <w:rPr>
          <w:rFonts w:cstheme="minorHAnsi"/>
        </w:rPr>
        <w:t>salar</w:t>
      </w:r>
      <w:r w:rsidR="003479AE">
        <w:rPr>
          <w:rFonts w:cstheme="minorHAnsi"/>
        </w:rPr>
        <w:t>ies and, ultimately, put</w:t>
      </w:r>
      <w:r w:rsidRPr="001A4472">
        <w:rPr>
          <w:rFonts w:cstheme="minorHAnsi"/>
        </w:rPr>
        <w:t xml:space="preserve"> pressure on government budgets.</w:t>
      </w:r>
    </w:p>
    <w:p w:rsidR="001A4472" w:rsidRPr="001A4472" w:rsidRDefault="001A4472" w:rsidP="001A4472">
      <w:pPr>
        <w:shd w:val="clear" w:color="auto" w:fill="FFFFFF"/>
        <w:rPr>
          <w:rFonts w:cstheme="minorHAnsi"/>
        </w:rPr>
      </w:pPr>
    </w:p>
    <w:p w:rsidR="00F26045" w:rsidRPr="001A4472" w:rsidRDefault="001A4472" w:rsidP="001A4472">
      <w:pPr>
        <w:shd w:val="clear" w:color="auto" w:fill="FFFFFF"/>
        <w:rPr>
          <w:rFonts w:cstheme="minorHAnsi"/>
        </w:rPr>
      </w:pPr>
      <w:r w:rsidRPr="001A4472">
        <w:rPr>
          <w:rFonts w:cstheme="minorHAnsi"/>
        </w:rPr>
        <w:t xml:space="preserve">To cope with higher turnover, public officials could consider a number of options in addition to increased pay, including providing more flexible workplaces and working conditions. Worker shortages also may encourage a greater use of new technology, service sharing arrangements between </w:t>
      </w:r>
      <w:r w:rsidR="00AB647C">
        <w:rPr>
          <w:rFonts w:cstheme="minorHAnsi"/>
        </w:rPr>
        <w:t>neighboring governments, and potentially,</w:t>
      </w:r>
      <w:bookmarkStart w:id="0" w:name="_GoBack"/>
      <w:bookmarkEnd w:id="0"/>
      <w:r w:rsidRPr="001A4472">
        <w:rPr>
          <w:rFonts w:cstheme="minorHAnsi"/>
        </w:rPr>
        <w:t xml:space="preserve"> greater use of private contractors.</w:t>
      </w:r>
    </w:p>
    <w:p w:rsidR="00BD3324" w:rsidRDefault="00BD3324" w:rsidP="00BD3324">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0"/>
  </w:num>
  <w:num w:numId="5">
    <w:abstractNumId w:val="17"/>
  </w:num>
  <w:num w:numId="6">
    <w:abstractNumId w:val="16"/>
  </w:num>
  <w:num w:numId="7">
    <w:abstractNumId w:val="8"/>
  </w:num>
  <w:num w:numId="8">
    <w:abstractNumId w:val="21"/>
  </w:num>
  <w:num w:numId="9">
    <w:abstractNumId w:val="5"/>
  </w:num>
  <w:num w:numId="10">
    <w:abstractNumId w:val="9"/>
  </w:num>
  <w:num w:numId="11">
    <w:abstractNumId w:val="22"/>
  </w:num>
  <w:num w:numId="12">
    <w:abstractNumId w:val="19"/>
  </w:num>
  <w:num w:numId="13">
    <w:abstractNumId w:val="13"/>
  </w:num>
  <w:num w:numId="14">
    <w:abstractNumId w:val="4"/>
  </w:num>
  <w:num w:numId="15">
    <w:abstractNumId w:val="3"/>
  </w:num>
  <w:num w:numId="16">
    <w:abstractNumId w:val="18"/>
  </w:num>
  <w:num w:numId="17">
    <w:abstractNumId w:val="20"/>
  </w:num>
  <w:num w:numId="18">
    <w:abstractNumId w:val="23"/>
  </w:num>
  <w:num w:numId="19">
    <w:abstractNumId w:val="14"/>
  </w:num>
  <w:num w:numId="20">
    <w:abstractNumId w:val="12"/>
  </w:num>
  <w:num w:numId="21">
    <w:abstractNumId w:val="1"/>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4A4B"/>
    <w:rsid w:val="00027EA7"/>
    <w:rsid w:val="00030DA7"/>
    <w:rsid w:val="000327AB"/>
    <w:rsid w:val="000448EF"/>
    <w:rsid w:val="00046ACB"/>
    <w:rsid w:val="00060ED2"/>
    <w:rsid w:val="000639BA"/>
    <w:rsid w:val="00072AD0"/>
    <w:rsid w:val="00076D7E"/>
    <w:rsid w:val="00083BDC"/>
    <w:rsid w:val="00084143"/>
    <w:rsid w:val="00096E0E"/>
    <w:rsid w:val="000975DA"/>
    <w:rsid w:val="000A7E6C"/>
    <w:rsid w:val="000B703B"/>
    <w:rsid w:val="000C079A"/>
    <w:rsid w:val="000C1C06"/>
    <w:rsid w:val="000D07F5"/>
    <w:rsid w:val="000D1C1A"/>
    <w:rsid w:val="000E2288"/>
    <w:rsid w:val="000E7026"/>
    <w:rsid w:val="000E7713"/>
    <w:rsid w:val="000F3E7E"/>
    <w:rsid w:val="000F737A"/>
    <w:rsid w:val="0010157E"/>
    <w:rsid w:val="00101D3B"/>
    <w:rsid w:val="00105962"/>
    <w:rsid w:val="001078EB"/>
    <w:rsid w:val="00122304"/>
    <w:rsid w:val="001279CF"/>
    <w:rsid w:val="00127DDE"/>
    <w:rsid w:val="00133BA7"/>
    <w:rsid w:val="00134ED6"/>
    <w:rsid w:val="00135005"/>
    <w:rsid w:val="00135643"/>
    <w:rsid w:val="001403B1"/>
    <w:rsid w:val="00142A38"/>
    <w:rsid w:val="0014528D"/>
    <w:rsid w:val="00163EBD"/>
    <w:rsid w:val="00170597"/>
    <w:rsid w:val="0017168F"/>
    <w:rsid w:val="00177990"/>
    <w:rsid w:val="00192F8C"/>
    <w:rsid w:val="001A4472"/>
    <w:rsid w:val="001B7D67"/>
    <w:rsid w:val="001C25DB"/>
    <w:rsid w:val="001C2D29"/>
    <w:rsid w:val="001D24C0"/>
    <w:rsid w:val="001D6EFB"/>
    <w:rsid w:val="001E0ED0"/>
    <w:rsid w:val="001F3699"/>
    <w:rsid w:val="001F4973"/>
    <w:rsid w:val="001F7D21"/>
    <w:rsid w:val="001F7D95"/>
    <w:rsid w:val="0020559F"/>
    <w:rsid w:val="00207698"/>
    <w:rsid w:val="00210928"/>
    <w:rsid w:val="002109B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B35"/>
    <w:rsid w:val="0028152E"/>
    <w:rsid w:val="00283455"/>
    <w:rsid w:val="00290A7D"/>
    <w:rsid w:val="00290D1F"/>
    <w:rsid w:val="00291EF6"/>
    <w:rsid w:val="00292321"/>
    <w:rsid w:val="002930D5"/>
    <w:rsid w:val="00295527"/>
    <w:rsid w:val="0029767A"/>
    <w:rsid w:val="002B1A77"/>
    <w:rsid w:val="002B3033"/>
    <w:rsid w:val="002B5414"/>
    <w:rsid w:val="002C2368"/>
    <w:rsid w:val="002C64F1"/>
    <w:rsid w:val="002E7DBF"/>
    <w:rsid w:val="002F0CED"/>
    <w:rsid w:val="002F0D68"/>
    <w:rsid w:val="002F264B"/>
    <w:rsid w:val="003001AF"/>
    <w:rsid w:val="00301354"/>
    <w:rsid w:val="003032B0"/>
    <w:rsid w:val="00307765"/>
    <w:rsid w:val="00307B68"/>
    <w:rsid w:val="00313348"/>
    <w:rsid w:val="00315CFF"/>
    <w:rsid w:val="003206C0"/>
    <w:rsid w:val="00320D43"/>
    <w:rsid w:val="00323DE6"/>
    <w:rsid w:val="00326892"/>
    <w:rsid w:val="0033146C"/>
    <w:rsid w:val="00333CBD"/>
    <w:rsid w:val="00336090"/>
    <w:rsid w:val="00340E36"/>
    <w:rsid w:val="0034186F"/>
    <w:rsid w:val="00342BD7"/>
    <w:rsid w:val="003479AE"/>
    <w:rsid w:val="00354491"/>
    <w:rsid w:val="00355F63"/>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D18B3"/>
    <w:rsid w:val="003E0700"/>
    <w:rsid w:val="003E07FE"/>
    <w:rsid w:val="003E2271"/>
    <w:rsid w:val="003E4761"/>
    <w:rsid w:val="003E6A18"/>
    <w:rsid w:val="003F0124"/>
    <w:rsid w:val="00400730"/>
    <w:rsid w:val="00402CAE"/>
    <w:rsid w:val="00404F7A"/>
    <w:rsid w:val="00406AB4"/>
    <w:rsid w:val="004165F2"/>
    <w:rsid w:val="004173A3"/>
    <w:rsid w:val="00426663"/>
    <w:rsid w:val="004315D7"/>
    <w:rsid w:val="00433E50"/>
    <w:rsid w:val="0043768B"/>
    <w:rsid w:val="00437ACA"/>
    <w:rsid w:val="004403F1"/>
    <w:rsid w:val="004428D1"/>
    <w:rsid w:val="00443A88"/>
    <w:rsid w:val="0044487A"/>
    <w:rsid w:val="00446FBF"/>
    <w:rsid w:val="00447656"/>
    <w:rsid w:val="004534B5"/>
    <w:rsid w:val="00465751"/>
    <w:rsid w:val="00471E7F"/>
    <w:rsid w:val="00473322"/>
    <w:rsid w:val="00474D03"/>
    <w:rsid w:val="004754CA"/>
    <w:rsid w:val="004754FF"/>
    <w:rsid w:val="00475944"/>
    <w:rsid w:val="00477F66"/>
    <w:rsid w:val="00482A02"/>
    <w:rsid w:val="00483581"/>
    <w:rsid w:val="00495534"/>
    <w:rsid w:val="004956A5"/>
    <w:rsid w:val="004975AD"/>
    <w:rsid w:val="004A0708"/>
    <w:rsid w:val="004A1813"/>
    <w:rsid w:val="004A27BF"/>
    <w:rsid w:val="004A563E"/>
    <w:rsid w:val="004B2F6E"/>
    <w:rsid w:val="004B61E2"/>
    <w:rsid w:val="004C2D13"/>
    <w:rsid w:val="004C4246"/>
    <w:rsid w:val="004C6FF2"/>
    <w:rsid w:val="004D45F7"/>
    <w:rsid w:val="004D4F64"/>
    <w:rsid w:val="004D7D43"/>
    <w:rsid w:val="004E0865"/>
    <w:rsid w:val="004E1EF5"/>
    <w:rsid w:val="004E33D6"/>
    <w:rsid w:val="004E5BB0"/>
    <w:rsid w:val="004E7BA7"/>
    <w:rsid w:val="004F1C21"/>
    <w:rsid w:val="004F3EC2"/>
    <w:rsid w:val="004F6243"/>
    <w:rsid w:val="004F7D44"/>
    <w:rsid w:val="00505575"/>
    <w:rsid w:val="00510DC3"/>
    <w:rsid w:val="00514FC9"/>
    <w:rsid w:val="00515082"/>
    <w:rsid w:val="00515830"/>
    <w:rsid w:val="0052059C"/>
    <w:rsid w:val="00521038"/>
    <w:rsid w:val="0052197F"/>
    <w:rsid w:val="00524EA9"/>
    <w:rsid w:val="00534132"/>
    <w:rsid w:val="0054373F"/>
    <w:rsid w:val="00547FAA"/>
    <w:rsid w:val="005515DE"/>
    <w:rsid w:val="005530C2"/>
    <w:rsid w:val="00556BBA"/>
    <w:rsid w:val="0056442E"/>
    <w:rsid w:val="005672F6"/>
    <w:rsid w:val="005713B1"/>
    <w:rsid w:val="005845ED"/>
    <w:rsid w:val="0058749E"/>
    <w:rsid w:val="00596BA0"/>
    <w:rsid w:val="005A7A83"/>
    <w:rsid w:val="005C05D5"/>
    <w:rsid w:val="005C607D"/>
    <w:rsid w:val="005D1C9A"/>
    <w:rsid w:val="005D3FDB"/>
    <w:rsid w:val="005E0DCD"/>
    <w:rsid w:val="005F55FF"/>
    <w:rsid w:val="005F76DA"/>
    <w:rsid w:val="0060634B"/>
    <w:rsid w:val="00611CEA"/>
    <w:rsid w:val="00612545"/>
    <w:rsid w:val="006169EF"/>
    <w:rsid w:val="00620A16"/>
    <w:rsid w:val="00622418"/>
    <w:rsid w:val="00624422"/>
    <w:rsid w:val="006322CA"/>
    <w:rsid w:val="006331E2"/>
    <w:rsid w:val="0063396E"/>
    <w:rsid w:val="0064387C"/>
    <w:rsid w:val="00651D3B"/>
    <w:rsid w:val="00651E88"/>
    <w:rsid w:val="006553F7"/>
    <w:rsid w:val="0066219E"/>
    <w:rsid w:val="0067232E"/>
    <w:rsid w:val="00672D91"/>
    <w:rsid w:val="006777EA"/>
    <w:rsid w:val="00681CF4"/>
    <w:rsid w:val="00694DEE"/>
    <w:rsid w:val="006B6991"/>
    <w:rsid w:val="006C1B31"/>
    <w:rsid w:val="006C3933"/>
    <w:rsid w:val="006C7DB7"/>
    <w:rsid w:val="006D0FA9"/>
    <w:rsid w:val="006D11B5"/>
    <w:rsid w:val="006D5643"/>
    <w:rsid w:val="006F312C"/>
    <w:rsid w:val="006F35A5"/>
    <w:rsid w:val="006F3DC0"/>
    <w:rsid w:val="00702E58"/>
    <w:rsid w:val="0070301B"/>
    <w:rsid w:val="00711815"/>
    <w:rsid w:val="00717F19"/>
    <w:rsid w:val="007222BA"/>
    <w:rsid w:val="00733DEC"/>
    <w:rsid w:val="00737E2B"/>
    <w:rsid w:val="007428AA"/>
    <w:rsid w:val="00742C90"/>
    <w:rsid w:val="007501EA"/>
    <w:rsid w:val="007532C7"/>
    <w:rsid w:val="00756595"/>
    <w:rsid w:val="00756D35"/>
    <w:rsid w:val="007571FA"/>
    <w:rsid w:val="007605E3"/>
    <w:rsid w:val="00761D29"/>
    <w:rsid w:val="00764979"/>
    <w:rsid w:val="00766F7A"/>
    <w:rsid w:val="00767082"/>
    <w:rsid w:val="00774C95"/>
    <w:rsid w:val="00787E47"/>
    <w:rsid w:val="00790740"/>
    <w:rsid w:val="00793D80"/>
    <w:rsid w:val="0079649C"/>
    <w:rsid w:val="007A4412"/>
    <w:rsid w:val="007B37A6"/>
    <w:rsid w:val="007B5610"/>
    <w:rsid w:val="007B5E2A"/>
    <w:rsid w:val="007B6FCE"/>
    <w:rsid w:val="007C03B5"/>
    <w:rsid w:val="007C09C5"/>
    <w:rsid w:val="007D226D"/>
    <w:rsid w:val="007D47C2"/>
    <w:rsid w:val="007D4FEE"/>
    <w:rsid w:val="007E32AA"/>
    <w:rsid w:val="007E524C"/>
    <w:rsid w:val="007E53DA"/>
    <w:rsid w:val="007F148D"/>
    <w:rsid w:val="008021FA"/>
    <w:rsid w:val="00804592"/>
    <w:rsid w:val="008053F4"/>
    <w:rsid w:val="008073AA"/>
    <w:rsid w:val="00807655"/>
    <w:rsid w:val="0081163E"/>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25A0"/>
    <w:rsid w:val="008630D0"/>
    <w:rsid w:val="008735B6"/>
    <w:rsid w:val="008751B9"/>
    <w:rsid w:val="00880AE3"/>
    <w:rsid w:val="008901C0"/>
    <w:rsid w:val="00890B29"/>
    <w:rsid w:val="008920B5"/>
    <w:rsid w:val="00892475"/>
    <w:rsid w:val="008A2107"/>
    <w:rsid w:val="008A3F80"/>
    <w:rsid w:val="008B232A"/>
    <w:rsid w:val="008B4465"/>
    <w:rsid w:val="008B549A"/>
    <w:rsid w:val="008C0B69"/>
    <w:rsid w:val="008C1D3D"/>
    <w:rsid w:val="008C326A"/>
    <w:rsid w:val="008C33C4"/>
    <w:rsid w:val="008C6590"/>
    <w:rsid w:val="008D2718"/>
    <w:rsid w:val="008D4673"/>
    <w:rsid w:val="008E402B"/>
    <w:rsid w:val="008E4CD9"/>
    <w:rsid w:val="008E4E51"/>
    <w:rsid w:val="008F168A"/>
    <w:rsid w:val="00900472"/>
    <w:rsid w:val="00911899"/>
    <w:rsid w:val="0092026E"/>
    <w:rsid w:val="00921362"/>
    <w:rsid w:val="009330C1"/>
    <w:rsid w:val="00942F7E"/>
    <w:rsid w:val="00945294"/>
    <w:rsid w:val="00953887"/>
    <w:rsid w:val="00953964"/>
    <w:rsid w:val="00953C31"/>
    <w:rsid w:val="00966C01"/>
    <w:rsid w:val="00966DE6"/>
    <w:rsid w:val="00971E7F"/>
    <w:rsid w:val="009759F0"/>
    <w:rsid w:val="009770BF"/>
    <w:rsid w:val="009A1E19"/>
    <w:rsid w:val="009A47F6"/>
    <w:rsid w:val="009B2019"/>
    <w:rsid w:val="009B41BB"/>
    <w:rsid w:val="009C226D"/>
    <w:rsid w:val="009C2C0E"/>
    <w:rsid w:val="009C3AF7"/>
    <w:rsid w:val="009D0BAA"/>
    <w:rsid w:val="009D3653"/>
    <w:rsid w:val="009D3EF9"/>
    <w:rsid w:val="009D5F15"/>
    <w:rsid w:val="009E1C3A"/>
    <w:rsid w:val="009E5F03"/>
    <w:rsid w:val="009E7E4A"/>
    <w:rsid w:val="009F1C81"/>
    <w:rsid w:val="00A11162"/>
    <w:rsid w:val="00A24A8B"/>
    <w:rsid w:val="00A3662D"/>
    <w:rsid w:val="00A517BE"/>
    <w:rsid w:val="00A5288D"/>
    <w:rsid w:val="00A52FF4"/>
    <w:rsid w:val="00A53816"/>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B647C"/>
    <w:rsid w:val="00AB64C3"/>
    <w:rsid w:val="00AC0AE8"/>
    <w:rsid w:val="00AC783B"/>
    <w:rsid w:val="00AC7F88"/>
    <w:rsid w:val="00AD1C94"/>
    <w:rsid w:val="00AE4AFA"/>
    <w:rsid w:val="00AF4ABA"/>
    <w:rsid w:val="00B03092"/>
    <w:rsid w:val="00B06422"/>
    <w:rsid w:val="00B06D3D"/>
    <w:rsid w:val="00B10C0C"/>
    <w:rsid w:val="00B12596"/>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4A7"/>
    <w:rsid w:val="00BA174E"/>
    <w:rsid w:val="00BA4B31"/>
    <w:rsid w:val="00BA4CB9"/>
    <w:rsid w:val="00BB3994"/>
    <w:rsid w:val="00BB51CD"/>
    <w:rsid w:val="00BC317E"/>
    <w:rsid w:val="00BC45B7"/>
    <w:rsid w:val="00BD3324"/>
    <w:rsid w:val="00BD3B36"/>
    <w:rsid w:val="00BE4ED4"/>
    <w:rsid w:val="00BF5D4D"/>
    <w:rsid w:val="00C0327E"/>
    <w:rsid w:val="00C0699F"/>
    <w:rsid w:val="00C15843"/>
    <w:rsid w:val="00C16BA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48BD"/>
    <w:rsid w:val="00CC7E34"/>
    <w:rsid w:val="00CD25CC"/>
    <w:rsid w:val="00CD5ADE"/>
    <w:rsid w:val="00CD7A01"/>
    <w:rsid w:val="00CF100F"/>
    <w:rsid w:val="00CF54A1"/>
    <w:rsid w:val="00CF7346"/>
    <w:rsid w:val="00CF7C3B"/>
    <w:rsid w:val="00D07387"/>
    <w:rsid w:val="00D10204"/>
    <w:rsid w:val="00D11204"/>
    <w:rsid w:val="00D116DF"/>
    <w:rsid w:val="00D17DD6"/>
    <w:rsid w:val="00D23C4A"/>
    <w:rsid w:val="00D25A9D"/>
    <w:rsid w:val="00D26424"/>
    <w:rsid w:val="00D355F9"/>
    <w:rsid w:val="00D377D5"/>
    <w:rsid w:val="00D43F75"/>
    <w:rsid w:val="00D4510F"/>
    <w:rsid w:val="00D50A51"/>
    <w:rsid w:val="00D537F1"/>
    <w:rsid w:val="00D55D0E"/>
    <w:rsid w:val="00D65481"/>
    <w:rsid w:val="00D656AC"/>
    <w:rsid w:val="00D72F37"/>
    <w:rsid w:val="00D748C5"/>
    <w:rsid w:val="00D86566"/>
    <w:rsid w:val="00D879CB"/>
    <w:rsid w:val="00D90BD6"/>
    <w:rsid w:val="00D9374B"/>
    <w:rsid w:val="00D95462"/>
    <w:rsid w:val="00D9668C"/>
    <w:rsid w:val="00DA1541"/>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7DFC"/>
    <w:rsid w:val="00DF0780"/>
    <w:rsid w:val="00DF2AA3"/>
    <w:rsid w:val="00DF35DB"/>
    <w:rsid w:val="00DF3740"/>
    <w:rsid w:val="00DF587B"/>
    <w:rsid w:val="00DF5E6D"/>
    <w:rsid w:val="00E1425A"/>
    <w:rsid w:val="00E152FC"/>
    <w:rsid w:val="00E17EB4"/>
    <w:rsid w:val="00E25F8B"/>
    <w:rsid w:val="00E27885"/>
    <w:rsid w:val="00E32A8A"/>
    <w:rsid w:val="00E370BE"/>
    <w:rsid w:val="00E43874"/>
    <w:rsid w:val="00E45DE1"/>
    <w:rsid w:val="00E50022"/>
    <w:rsid w:val="00E65049"/>
    <w:rsid w:val="00E65E1F"/>
    <w:rsid w:val="00E70539"/>
    <w:rsid w:val="00E70834"/>
    <w:rsid w:val="00E74EFF"/>
    <w:rsid w:val="00E76216"/>
    <w:rsid w:val="00E82EDD"/>
    <w:rsid w:val="00E83826"/>
    <w:rsid w:val="00E855DD"/>
    <w:rsid w:val="00E91448"/>
    <w:rsid w:val="00E91FA6"/>
    <w:rsid w:val="00E936FE"/>
    <w:rsid w:val="00E97D00"/>
    <w:rsid w:val="00EA767D"/>
    <w:rsid w:val="00EB0B1D"/>
    <w:rsid w:val="00EB3C3D"/>
    <w:rsid w:val="00EB5F47"/>
    <w:rsid w:val="00EC3F3C"/>
    <w:rsid w:val="00EC4016"/>
    <w:rsid w:val="00EC7822"/>
    <w:rsid w:val="00ED5D63"/>
    <w:rsid w:val="00EF0E6D"/>
    <w:rsid w:val="00EF571C"/>
    <w:rsid w:val="00F0225A"/>
    <w:rsid w:val="00F036CE"/>
    <w:rsid w:val="00F062EF"/>
    <w:rsid w:val="00F105FE"/>
    <w:rsid w:val="00F1363C"/>
    <w:rsid w:val="00F14B56"/>
    <w:rsid w:val="00F1716A"/>
    <w:rsid w:val="00F2371D"/>
    <w:rsid w:val="00F2449B"/>
    <w:rsid w:val="00F26045"/>
    <w:rsid w:val="00F36DEC"/>
    <w:rsid w:val="00F37686"/>
    <w:rsid w:val="00F42F0D"/>
    <w:rsid w:val="00F51C4E"/>
    <w:rsid w:val="00F63C56"/>
    <w:rsid w:val="00F706AA"/>
    <w:rsid w:val="00F804EE"/>
    <w:rsid w:val="00F80EE8"/>
    <w:rsid w:val="00F842CD"/>
    <w:rsid w:val="00F85C40"/>
    <w:rsid w:val="00F90B83"/>
    <w:rsid w:val="00F948A8"/>
    <w:rsid w:val="00F953B6"/>
    <w:rsid w:val="00F959B8"/>
    <w:rsid w:val="00F97BBC"/>
    <w:rsid w:val="00FA3855"/>
    <w:rsid w:val="00FA58EF"/>
    <w:rsid w:val="00FA5C20"/>
    <w:rsid w:val="00FA747D"/>
    <w:rsid w:val="00FB109C"/>
    <w:rsid w:val="00FB1D61"/>
    <w:rsid w:val="00FB35CD"/>
    <w:rsid w:val="00FB6244"/>
    <w:rsid w:val="00FC0F49"/>
    <w:rsid w:val="00FD6550"/>
    <w:rsid w:val="00FD6D74"/>
    <w:rsid w:val="00FD79C7"/>
    <w:rsid w:val="00FE5891"/>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241C"/>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11</cp:revision>
  <dcterms:created xsi:type="dcterms:W3CDTF">2022-09-01T15:24:00Z</dcterms:created>
  <dcterms:modified xsi:type="dcterms:W3CDTF">2022-09-01T15:42:00Z</dcterms:modified>
</cp:coreProperties>
</file>