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3ED0" w14:textId="77777777" w:rsidR="00315CFF" w:rsidRPr="00FE634B" w:rsidRDefault="00945294" w:rsidP="001E0ED0">
      <w:pPr>
        <w:shd w:val="clear" w:color="auto" w:fill="FFFFFF"/>
        <w:rPr>
          <w:rFonts w:cstheme="minorHAnsi"/>
          <w:b/>
        </w:rPr>
      </w:pPr>
      <w:r w:rsidRPr="00FE634B">
        <w:rPr>
          <w:rFonts w:cstheme="minorHAnsi"/>
          <w:b/>
        </w:rPr>
        <w:t>Fiscal Facts:</w:t>
      </w:r>
      <w:r w:rsidR="00E370BE" w:rsidRPr="00FE634B">
        <w:rPr>
          <w:rFonts w:cstheme="minorHAnsi"/>
          <w:b/>
        </w:rPr>
        <w:t xml:space="preserve"> </w:t>
      </w:r>
      <w:r w:rsidR="00355F63" w:rsidRPr="00FE634B">
        <w:rPr>
          <w:rFonts w:cstheme="minorHAnsi"/>
          <w:b/>
        </w:rPr>
        <w:t>In Hot Housing Market, Real Estate Transfer Revenues Near All-Time High</w:t>
      </w:r>
    </w:p>
    <w:p w14:paraId="22727AC5" w14:textId="77777777" w:rsidR="00355F63" w:rsidRPr="00FE634B" w:rsidRDefault="00355F63" w:rsidP="001E0ED0">
      <w:pPr>
        <w:shd w:val="clear" w:color="auto" w:fill="FFFFFF"/>
        <w:rPr>
          <w:rFonts w:cstheme="minorHAnsi"/>
          <w:b/>
        </w:rPr>
      </w:pPr>
    </w:p>
    <w:p w14:paraId="40F25475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Fonts w:asciiTheme="minorHAnsi" w:hAnsiTheme="minorHAnsi" w:cstheme="minorHAnsi"/>
          <w:color w:val="54595F"/>
          <w:sz w:val="22"/>
          <w:szCs w:val="22"/>
        </w:rPr>
        <w:t>Revenues from fees on transfers of real estate in Wisconsin increased 37% in fiscal year 2021, the largest annual increase in nearly four decades. This was driven by robust increases in real estate sales and residential property values during the COVID-19 pandemic.</w:t>
      </w:r>
    </w:p>
    <w:p w14:paraId="2B9EF4CE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Fonts w:asciiTheme="minorHAnsi" w:hAnsiTheme="minorHAnsi" w:cstheme="minorHAnsi"/>
          <w:color w:val="54595F"/>
          <w:sz w:val="22"/>
          <w:szCs w:val="22"/>
        </w:rPr>
        <w:t>Wisconsin, like most other states, collects a fee on real estate transfers, most of which are sales. In Wisconsin the fee is $3 for every $1,000 of real estate property being transferred. The fee is collected at the county level and revenue proceeds are split between the state’s general fund, which receives 80%, and the county, which receives 20%.</w:t>
      </w:r>
    </w:p>
    <w:p w14:paraId="0C2256AF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Fonts w:asciiTheme="minorHAnsi" w:hAnsiTheme="minorHAnsi" w:cstheme="minorHAnsi"/>
          <w:color w:val="54595F"/>
          <w:sz w:val="22"/>
          <w:szCs w:val="22"/>
        </w:rPr>
        <w:t>The increase in the fiscal year ending June 30 brought fee revenues to rival those during the housing boom of 2005-06—and projections show they could reach an all-time high in the current fiscal year.</w:t>
      </w:r>
    </w:p>
    <w:p w14:paraId="1C6434DE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Fonts w:asciiTheme="minorHAnsi" w:hAnsiTheme="minorHAnsi" w:cstheme="minorHAnsi"/>
          <w:color w:val="54595F"/>
          <w:sz w:val="22"/>
          <w:szCs w:val="22"/>
        </w:rPr>
        <w:t>Wisconsin Department of Revenue data show the volume of real estate transfers and other information, such as property values, by calendar year from 2016-21. They show the calendar 2021 increase in real estate transfers was statewide, with all but one county seeing growth.</w:t>
      </w:r>
    </w:p>
    <w:p w14:paraId="4B4CF274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Fonts w:asciiTheme="minorHAnsi" w:hAnsiTheme="minorHAnsi" w:cstheme="minorHAnsi"/>
          <w:color w:val="54595F"/>
          <w:sz w:val="22"/>
          <w:szCs w:val="22"/>
        </w:rPr>
        <w:t>Soaring real estate values, especially residential values, also played a key role in the revenue increase. This trend predated the pandemic but has accelerated during it. The median value of (1-2-3-unit) residential properties transferred in Wisconsin increased from $126,500 in calendar 2016 to $170,000 in 2021 (34.4%). More than half of this increase came in 2020 and 2021.</w:t>
      </w:r>
    </w:p>
    <w:p w14:paraId="61FE22C2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Fonts w:asciiTheme="minorHAnsi" w:hAnsiTheme="minorHAnsi" w:cstheme="minorHAnsi"/>
          <w:color w:val="54595F"/>
          <w:sz w:val="22"/>
          <w:szCs w:val="22"/>
        </w:rPr>
        <w:t>While these increases were broadly shared, they were particularly robust in the state’s largest counties. Nineteen counties saw values increase more rapidly than the state average over the five-year, two-year, and one-year period leading up to 2021. These include seven of the state’s 10 most populous counties: Milwaukee, Dane, Brown, Outagamie, Winnebago, Kenosha, and Rock. It also includes exurban counties such as Jefferson and St. Croix; counties where tourism plays a key role in the local real estate market, such as Sauk and Walworth; and a few rural counties.</w:t>
      </w:r>
    </w:p>
    <w:p w14:paraId="6D88456A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Fonts w:asciiTheme="minorHAnsi" w:hAnsiTheme="minorHAnsi" w:cstheme="minorHAnsi"/>
          <w:color w:val="54595F"/>
          <w:sz w:val="22"/>
          <w:szCs w:val="22"/>
        </w:rPr>
        <w:t>Meanwhile, all of Wisconsin’s 100 largest municipalities saw an increase of at least 20% in median values from 2016 to 2021. Three of the six municipalities that saw the largest percentage increases during this period were among those with the lowest median property values – Beloit, Racine, and Milwaukee – with the latter two seeing increases of more than 60%.</w:t>
      </w:r>
    </w:p>
    <w:p w14:paraId="1FDBE4A7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Fonts w:asciiTheme="minorHAnsi" w:hAnsiTheme="minorHAnsi" w:cstheme="minorHAnsi"/>
          <w:color w:val="54595F"/>
          <w:sz w:val="22"/>
          <w:szCs w:val="22"/>
        </w:rPr>
        <w:t>Factors that influenced the real estate market in 2021 were mortgage interest rates hitting all-time lows, strong demand from millennials reaching home-buying age, and a limited supply of homes causing values to increase, according to a report from the Wisconsin Realtors Association.</w:t>
      </w:r>
    </w:p>
    <w:p w14:paraId="51DF98EF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Fonts w:asciiTheme="minorHAnsi" w:hAnsiTheme="minorHAnsi" w:cstheme="minorHAnsi"/>
          <w:color w:val="54595F"/>
          <w:sz w:val="22"/>
          <w:szCs w:val="22"/>
        </w:rPr>
        <w:t>The revenue increase comes at a time of state fiscal strength, while local governments are far more fiscally constrained. State policymakers may opt to consider real estate transfer fees among a list of potential local revenue options to support vital services.</w:t>
      </w:r>
    </w:p>
    <w:p w14:paraId="09FAE07E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Fonts w:asciiTheme="minorHAnsi" w:hAnsiTheme="minorHAnsi" w:cstheme="minorHAnsi"/>
          <w:color w:val="54595F"/>
          <w:sz w:val="22"/>
          <w:szCs w:val="22"/>
        </w:rPr>
        <w:lastRenderedPageBreak/>
        <w:t>Meanwhile, a red-hot housing market is affecting housing affordability in Wisconsin. A failure to address it with policy responses may result in more Wisconsinites struggling to afford housing — at a time when other household expenses continue to rise.</w:t>
      </w:r>
    </w:p>
    <w:p w14:paraId="7883092D" w14:textId="77777777" w:rsidR="00FE634B" w:rsidRPr="00FE634B" w:rsidRDefault="00FE634B" w:rsidP="00FE6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4595F"/>
          <w:sz w:val="22"/>
          <w:szCs w:val="22"/>
        </w:rPr>
      </w:pPr>
      <w:r w:rsidRPr="00FE634B">
        <w:rPr>
          <w:rStyle w:val="Emphasis"/>
          <w:rFonts w:asciiTheme="minorHAnsi" w:hAnsiTheme="minorHAnsi" w:cstheme="minorHAnsi"/>
          <w:color w:val="54595F"/>
          <w:sz w:val="22"/>
          <w:szCs w:val="22"/>
          <w:bdr w:val="none" w:sz="0" w:space="0" w:color="auto" w:frame="1"/>
        </w:rPr>
        <w:t>This information is provided to Wisconsin Newspaper Association members as a service of the Wisconsin Policy Forum, the state’s leading resource for nonpartisan state and local government research and civic education. Learn more at </w:t>
      </w:r>
      <w:hyperlink r:id="rId5" w:tgtFrame="_blank" w:history="1">
        <w:r w:rsidRPr="00FE634B">
          <w:rPr>
            <w:rStyle w:val="Hyperlink"/>
            <w:rFonts w:asciiTheme="minorHAnsi" w:hAnsiTheme="minorHAnsi" w:cstheme="minorHAnsi"/>
            <w:i/>
            <w:iCs/>
            <w:color w:val="0274BE"/>
            <w:sz w:val="22"/>
            <w:szCs w:val="22"/>
            <w:bdr w:val="none" w:sz="0" w:space="0" w:color="auto" w:frame="1"/>
          </w:rPr>
          <w:t>wispolicyforum.org</w:t>
        </w:r>
      </w:hyperlink>
      <w:r w:rsidRPr="00FE634B">
        <w:rPr>
          <w:rStyle w:val="Emphasis"/>
          <w:rFonts w:asciiTheme="minorHAnsi" w:hAnsiTheme="minorHAnsi" w:cstheme="minorHAnsi"/>
          <w:color w:val="54595F"/>
          <w:sz w:val="22"/>
          <w:szCs w:val="22"/>
          <w:bdr w:val="none" w:sz="0" w:space="0" w:color="auto" w:frame="1"/>
        </w:rPr>
        <w:t>. </w:t>
      </w:r>
      <w:r w:rsidRPr="00FE634B">
        <w:rPr>
          <w:rFonts w:asciiTheme="minorHAnsi" w:hAnsiTheme="minorHAnsi" w:cstheme="minorHAnsi"/>
          <w:color w:val="54595F"/>
          <w:sz w:val="22"/>
          <w:szCs w:val="22"/>
        </w:rPr>
        <w:t> </w:t>
      </w:r>
    </w:p>
    <w:p w14:paraId="6547D82D" w14:textId="59D0F921" w:rsidR="00945294" w:rsidRPr="00FE634B" w:rsidRDefault="00945294" w:rsidP="00FE634B">
      <w:pPr>
        <w:shd w:val="clear" w:color="auto" w:fill="FFFFFF"/>
        <w:rPr>
          <w:rFonts w:cstheme="minorHAnsi"/>
        </w:rPr>
      </w:pPr>
    </w:p>
    <w:sectPr w:rsidR="00945294" w:rsidRPr="00FE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77428">
    <w:abstractNumId w:val="5"/>
  </w:num>
  <w:num w:numId="2" w16cid:durableId="441802291">
    <w:abstractNumId w:val="4"/>
  </w:num>
  <w:num w:numId="3" w16cid:durableId="110756612">
    <w:abstractNumId w:val="10"/>
  </w:num>
  <w:num w:numId="4" w16cid:durableId="418335162">
    <w:abstractNumId w:val="0"/>
  </w:num>
  <w:num w:numId="5" w16cid:durableId="1665040018">
    <w:abstractNumId w:val="12"/>
  </w:num>
  <w:num w:numId="6" w16cid:durableId="863131269">
    <w:abstractNumId w:val="11"/>
  </w:num>
  <w:num w:numId="7" w16cid:durableId="1098940088">
    <w:abstractNumId w:val="6"/>
  </w:num>
  <w:num w:numId="8" w16cid:durableId="591278721">
    <w:abstractNumId w:val="16"/>
  </w:num>
  <w:num w:numId="9" w16cid:durableId="1057709256">
    <w:abstractNumId w:val="3"/>
  </w:num>
  <w:num w:numId="10" w16cid:durableId="441456754">
    <w:abstractNumId w:val="7"/>
  </w:num>
  <w:num w:numId="11" w16cid:durableId="1838960433">
    <w:abstractNumId w:val="17"/>
  </w:num>
  <w:num w:numId="12" w16cid:durableId="1337078572">
    <w:abstractNumId w:val="14"/>
  </w:num>
  <w:num w:numId="13" w16cid:durableId="193084137">
    <w:abstractNumId w:val="8"/>
  </w:num>
  <w:num w:numId="14" w16cid:durableId="1543790966">
    <w:abstractNumId w:val="2"/>
  </w:num>
  <w:num w:numId="15" w16cid:durableId="1536966337">
    <w:abstractNumId w:val="1"/>
  </w:num>
  <w:num w:numId="16" w16cid:durableId="938755894">
    <w:abstractNumId w:val="13"/>
  </w:num>
  <w:num w:numId="17" w16cid:durableId="1219825522">
    <w:abstractNumId w:val="15"/>
  </w:num>
  <w:num w:numId="18" w16cid:durableId="297296664">
    <w:abstractNumId w:val="18"/>
  </w:num>
  <w:num w:numId="19" w16cid:durableId="11780817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02011"/>
    <w:rsid w:val="0000222A"/>
    <w:rsid w:val="00023F08"/>
    <w:rsid w:val="000448EF"/>
    <w:rsid w:val="00046ACB"/>
    <w:rsid w:val="00060ED2"/>
    <w:rsid w:val="000639BA"/>
    <w:rsid w:val="00072AD0"/>
    <w:rsid w:val="00076D7E"/>
    <w:rsid w:val="00084143"/>
    <w:rsid w:val="00096E0E"/>
    <w:rsid w:val="000975DA"/>
    <w:rsid w:val="000A7E6C"/>
    <w:rsid w:val="000B703B"/>
    <w:rsid w:val="000C079A"/>
    <w:rsid w:val="000C1C06"/>
    <w:rsid w:val="000D07F5"/>
    <w:rsid w:val="000D1C1A"/>
    <w:rsid w:val="000E7026"/>
    <w:rsid w:val="000E7713"/>
    <w:rsid w:val="000F737A"/>
    <w:rsid w:val="0010157E"/>
    <w:rsid w:val="00101D3B"/>
    <w:rsid w:val="00105962"/>
    <w:rsid w:val="001078EB"/>
    <w:rsid w:val="00122304"/>
    <w:rsid w:val="001279CF"/>
    <w:rsid w:val="00127DDE"/>
    <w:rsid w:val="00133BA7"/>
    <w:rsid w:val="00134ED6"/>
    <w:rsid w:val="00135005"/>
    <w:rsid w:val="00135643"/>
    <w:rsid w:val="001403B1"/>
    <w:rsid w:val="00170597"/>
    <w:rsid w:val="0017168F"/>
    <w:rsid w:val="00192F8C"/>
    <w:rsid w:val="001B7D67"/>
    <w:rsid w:val="001C2D29"/>
    <w:rsid w:val="001D24C0"/>
    <w:rsid w:val="001E0ED0"/>
    <w:rsid w:val="001F3699"/>
    <w:rsid w:val="001F4973"/>
    <w:rsid w:val="001F7D21"/>
    <w:rsid w:val="001F7D95"/>
    <w:rsid w:val="00207698"/>
    <w:rsid w:val="00210928"/>
    <w:rsid w:val="002109B2"/>
    <w:rsid w:val="00224F99"/>
    <w:rsid w:val="00225119"/>
    <w:rsid w:val="00231F8B"/>
    <w:rsid w:val="002357EC"/>
    <w:rsid w:val="0023635F"/>
    <w:rsid w:val="0023647E"/>
    <w:rsid w:val="002375CE"/>
    <w:rsid w:val="002464D9"/>
    <w:rsid w:val="00252F46"/>
    <w:rsid w:val="0026426C"/>
    <w:rsid w:val="00264DC4"/>
    <w:rsid w:val="0028152E"/>
    <w:rsid w:val="00283455"/>
    <w:rsid w:val="00290A7D"/>
    <w:rsid w:val="00290D1F"/>
    <w:rsid w:val="00292321"/>
    <w:rsid w:val="002930D5"/>
    <w:rsid w:val="0029767A"/>
    <w:rsid w:val="002B1A77"/>
    <w:rsid w:val="002B3033"/>
    <w:rsid w:val="002B5414"/>
    <w:rsid w:val="002C2368"/>
    <w:rsid w:val="002C64F1"/>
    <w:rsid w:val="002E7DBF"/>
    <w:rsid w:val="002F0D68"/>
    <w:rsid w:val="002F264B"/>
    <w:rsid w:val="003001AF"/>
    <w:rsid w:val="00301354"/>
    <w:rsid w:val="003032B0"/>
    <w:rsid w:val="00315CFF"/>
    <w:rsid w:val="00320D43"/>
    <w:rsid w:val="00326892"/>
    <w:rsid w:val="0033146C"/>
    <w:rsid w:val="00340E36"/>
    <w:rsid w:val="00342BD7"/>
    <w:rsid w:val="00354491"/>
    <w:rsid w:val="00355F63"/>
    <w:rsid w:val="0037743C"/>
    <w:rsid w:val="00390523"/>
    <w:rsid w:val="00390A15"/>
    <w:rsid w:val="00391B40"/>
    <w:rsid w:val="00394572"/>
    <w:rsid w:val="00395022"/>
    <w:rsid w:val="003B47CC"/>
    <w:rsid w:val="003D18B3"/>
    <w:rsid w:val="003E0700"/>
    <w:rsid w:val="003E07FE"/>
    <w:rsid w:val="003E4761"/>
    <w:rsid w:val="003E6A18"/>
    <w:rsid w:val="003F0124"/>
    <w:rsid w:val="00402CAE"/>
    <w:rsid w:val="00404F7A"/>
    <w:rsid w:val="004165F2"/>
    <w:rsid w:val="00426663"/>
    <w:rsid w:val="004315D7"/>
    <w:rsid w:val="0043768B"/>
    <w:rsid w:val="00437ACA"/>
    <w:rsid w:val="004403F1"/>
    <w:rsid w:val="004428D1"/>
    <w:rsid w:val="0044487A"/>
    <w:rsid w:val="00446FBF"/>
    <w:rsid w:val="00465751"/>
    <w:rsid w:val="00473322"/>
    <w:rsid w:val="00474D03"/>
    <w:rsid w:val="00475944"/>
    <w:rsid w:val="00477F66"/>
    <w:rsid w:val="00482A02"/>
    <w:rsid w:val="00483581"/>
    <w:rsid w:val="00495534"/>
    <w:rsid w:val="004956A5"/>
    <w:rsid w:val="004975AD"/>
    <w:rsid w:val="004A0708"/>
    <w:rsid w:val="004A1813"/>
    <w:rsid w:val="004A27BF"/>
    <w:rsid w:val="004A563E"/>
    <w:rsid w:val="004B61E2"/>
    <w:rsid w:val="004C2D13"/>
    <w:rsid w:val="004C4246"/>
    <w:rsid w:val="004C6FF2"/>
    <w:rsid w:val="004D45F7"/>
    <w:rsid w:val="004E0865"/>
    <w:rsid w:val="004E1EF5"/>
    <w:rsid w:val="004E5BB0"/>
    <w:rsid w:val="004F1C21"/>
    <w:rsid w:val="004F3EC2"/>
    <w:rsid w:val="004F6243"/>
    <w:rsid w:val="004F7D44"/>
    <w:rsid w:val="00505575"/>
    <w:rsid w:val="00510DC3"/>
    <w:rsid w:val="00515082"/>
    <w:rsid w:val="00515830"/>
    <w:rsid w:val="00521038"/>
    <w:rsid w:val="0052197F"/>
    <w:rsid w:val="00524EA9"/>
    <w:rsid w:val="0054373F"/>
    <w:rsid w:val="00547FAA"/>
    <w:rsid w:val="005515DE"/>
    <w:rsid w:val="005530C2"/>
    <w:rsid w:val="00556BBA"/>
    <w:rsid w:val="0056442E"/>
    <w:rsid w:val="005672F6"/>
    <w:rsid w:val="005713B1"/>
    <w:rsid w:val="005845ED"/>
    <w:rsid w:val="0058749E"/>
    <w:rsid w:val="005A7A83"/>
    <w:rsid w:val="005C05D5"/>
    <w:rsid w:val="005D3FDB"/>
    <w:rsid w:val="005E0DCD"/>
    <w:rsid w:val="005F76DA"/>
    <w:rsid w:val="0060634B"/>
    <w:rsid w:val="00611CEA"/>
    <w:rsid w:val="00612545"/>
    <w:rsid w:val="006169EF"/>
    <w:rsid w:val="00620A16"/>
    <w:rsid w:val="006331E2"/>
    <w:rsid w:val="0063396E"/>
    <w:rsid w:val="0064387C"/>
    <w:rsid w:val="00651D3B"/>
    <w:rsid w:val="00651E88"/>
    <w:rsid w:val="006553F7"/>
    <w:rsid w:val="0066219E"/>
    <w:rsid w:val="00672D91"/>
    <w:rsid w:val="006777EA"/>
    <w:rsid w:val="00681CF4"/>
    <w:rsid w:val="006C7DB7"/>
    <w:rsid w:val="006D0FA9"/>
    <w:rsid w:val="006D5643"/>
    <w:rsid w:val="006F312C"/>
    <w:rsid w:val="006F35A5"/>
    <w:rsid w:val="00702E58"/>
    <w:rsid w:val="0070301B"/>
    <w:rsid w:val="00711815"/>
    <w:rsid w:val="00717F19"/>
    <w:rsid w:val="007222BA"/>
    <w:rsid w:val="00733DEC"/>
    <w:rsid w:val="00737E2B"/>
    <w:rsid w:val="007428AA"/>
    <w:rsid w:val="007501EA"/>
    <w:rsid w:val="00756D35"/>
    <w:rsid w:val="007605E3"/>
    <w:rsid w:val="00761D29"/>
    <w:rsid w:val="00764979"/>
    <w:rsid w:val="00766F7A"/>
    <w:rsid w:val="00767082"/>
    <w:rsid w:val="00774C95"/>
    <w:rsid w:val="00787E47"/>
    <w:rsid w:val="00790740"/>
    <w:rsid w:val="00793D80"/>
    <w:rsid w:val="0079649C"/>
    <w:rsid w:val="007B37A6"/>
    <w:rsid w:val="007B5610"/>
    <w:rsid w:val="007B5E2A"/>
    <w:rsid w:val="007B6FCE"/>
    <w:rsid w:val="007C03B5"/>
    <w:rsid w:val="007C09C5"/>
    <w:rsid w:val="007D226D"/>
    <w:rsid w:val="007D47C2"/>
    <w:rsid w:val="007E32AA"/>
    <w:rsid w:val="007E53DA"/>
    <w:rsid w:val="00804592"/>
    <w:rsid w:val="008053F4"/>
    <w:rsid w:val="008073AA"/>
    <w:rsid w:val="008152F0"/>
    <w:rsid w:val="00820FA2"/>
    <w:rsid w:val="00824E11"/>
    <w:rsid w:val="00824E79"/>
    <w:rsid w:val="00826A64"/>
    <w:rsid w:val="00835AAF"/>
    <w:rsid w:val="008360EC"/>
    <w:rsid w:val="008375A3"/>
    <w:rsid w:val="008442EC"/>
    <w:rsid w:val="0084550E"/>
    <w:rsid w:val="00846DE3"/>
    <w:rsid w:val="00850258"/>
    <w:rsid w:val="00851013"/>
    <w:rsid w:val="0085426E"/>
    <w:rsid w:val="008544D5"/>
    <w:rsid w:val="008630D0"/>
    <w:rsid w:val="008735B6"/>
    <w:rsid w:val="00880AE3"/>
    <w:rsid w:val="008901C0"/>
    <w:rsid w:val="008920B5"/>
    <w:rsid w:val="008A2107"/>
    <w:rsid w:val="008A3F80"/>
    <w:rsid w:val="008B4465"/>
    <w:rsid w:val="008C326A"/>
    <w:rsid w:val="008C33C4"/>
    <w:rsid w:val="008D2718"/>
    <w:rsid w:val="008D4673"/>
    <w:rsid w:val="008E4E51"/>
    <w:rsid w:val="008F168A"/>
    <w:rsid w:val="0092026E"/>
    <w:rsid w:val="00921362"/>
    <w:rsid w:val="00942F7E"/>
    <w:rsid w:val="00945294"/>
    <w:rsid w:val="00953887"/>
    <w:rsid w:val="00953964"/>
    <w:rsid w:val="00953C31"/>
    <w:rsid w:val="00966C01"/>
    <w:rsid w:val="00966DE6"/>
    <w:rsid w:val="009759F0"/>
    <w:rsid w:val="009770BF"/>
    <w:rsid w:val="009A47F6"/>
    <w:rsid w:val="009B2019"/>
    <w:rsid w:val="009B41BB"/>
    <w:rsid w:val="009C226D"/>
    <w:rsid w:val="009C2C0E"/>
    <w:rsid w:val="009D3EF9"/>
    <w:rsid w:val="009D5F15"/>
    <w:rsid w:val="009E1C3A"/>
    <w:rsid w:val="009E5F03"/>
    <w:rsid w:val="009E7E4A"/>
    <w:rsid w:val="00A11162"/>
    <w:rsid w:val="00A24A8B"/>
    <w:rsid w:val="00A3662D"/>
    <w:rsid w:val="00A517BE"/>
    <w:rsid w:val="00A5288D"/>
    <w:rsid w:val="00A52FF4"/>
    <w:rsid w:val="00A56FAF"/>
    <w:rsid w:val="00A61E31"/>
    <w:rsid w:val="00A63D16"/>
    <w:rsid w:val="00A64417"/>
    <w:rsid w:val="00A76629"/>
    <w:rsid w:val="00A9372F"/>
    <w:rsid w:val="00A9471C"/>
    <w:rsid w:val="00A95202"/>
    <w:rsid w:val="00A9773A"/>
    <w:rsid w:val="00AA19FE"/>
    <w:rsid w:val="00AB0810"/>
    <w:rsid w:val="00AB0EB2"/>
    <w:rsid w:val="00AB4172"/>
    <w:rsid w:val="00AB51A1"/>
    <w:rsid w:val="00AC0AE8"/>
    <w:rsid w:val="00AC7F88"/>
    <w:rsid w:val="00AD1C94"/>
    <w:rsid w:val="00AE4AFA"/>
    <w:rsid w:val="00B06D3D"/>
    <w:rsid w:val="00B10C0C"/>
    <w:rsid w:val="00B139C5"/>
    <w:rsid w:val="00B14CE4"/>
    <w:rsid w:val="00B25212"/>
    <w:rsid w:val="00B277EA"/>
    <w:rsid w:val="00B32F00"/>
    <w:rsid w:val="00B41F2C"/>
    <w:rsid w:val="00B52C8A"/>
    <w:rsid w:val="00B55B40"/>
    <w:rsid w:val="00B55D2A"/>
    <w:rsid w:val="00B6478A"/>
    <w:rsid w:val="00B64B97"/>
    <w:rsid w:val="00B650DF"/>
    <w:rsid w:val="00B673A4"/>
    <w:rsid w:val="00B7574F"/>
    <w:rsid w:val="00B80EAA"/>
    <w:rsid w:val="00B8171E"/>
    <w:rsid w:val="00B87928"/>
    <w:rsid w:val="00B96388"/>
    <w:rsid w:val="00BA0612"/>
    <w:rsid w:val="00BA174E"/>
    <w:rsid w:val="00BA4B31"/>
    <w:rsid w:val="00BA4CB9"/>
    <w:rsid w:val="00BC317E"/>
    <w:rsid w:val="00BC45B7"/>
    <w:rsid w:val="00BD3B36"/>
    <w:rsid w:val="00BE4ED4"/>
    <w:rsid w:val="00BF5D4D"/>
    <w:rsid w:val="00C0327E"/>
    <w:rsid w:val="00C0699F"/>
    <w:rsid w:val="00C15843"/>
    <w:rsid w:val="00C2579D"/>
    <w:rsid w:val="00C26A6F"/>
    <w:rsid w:val="00C300C8"/>
    <w:rsid w:val="00C317A1"/>
    <w:rsid w:val="00C35E52"/>
    <w:rsid w:val="00C4198E"/>
    <w:rsid w:val="00C41ECF"/>
    <w:rsid w:val="00C42C68"/>
    <w:rsid w:val="00C43301"/>
    <w:rsid w:val="00C468D2"/>
    <w:rsid w:val="00C476C9"/>
    <w:rsid w:val="00C60F54"/>
    <w:rsid w:val="00C6154D"/>
    <w:rsid w:val="00C61924"/>
    <w:rsid w:val="00C659DA"/>
    <w:rsid w:val="00C75800"/>
    <w:rsid w:val="00C774B4"/>
    <w:rsid w:val="00C77E24"/>
    <w:rsid w:val="00C77FCC"/>
    <w:rsid w:val="00C855A8"/>
    <w:rsid w:val="00C85E87"/>
    <w:rsid w:val="00C91006"/>
    <w:rsid w:val="00C95306"/>
    <w:rsid w:val="00C966FB"/>
    <w:rsid w:val="00CA5A9A"/>
    <w:rsid w:val="00CA6D33"/>
    <w:rsid w:val="00CB1651"/>
    <w:rsid w:val="00CB20AB"/>
    <w:rsid w:val="00CB5DB7"/>
    <w:rsid w:val="00CC3242"/>
    <w:rsid w:val="00CD0B8C"/>
    <w:rsid w:val="00CD25CC"/>
    <w:rsid w:val="00CD7A01"/>
    <w:rsid w:val="00CF100F"/>
    <w:rsid w:val="00CF7346"/>
    <w:rsid w:val="00CF7C3B"/>
    <w:rsid w:val="00D116DF"/>
    <w:rsid w:val="00D23C4A"/>
    <w:rsid w:val="00D25A9D"/>
    <w:rsid w:val="00D26424"/>
    <w:rsid w:val="00D377D5"/>
    <w:rsid w:val="00D43F75"/>
    <w:rsid w:val="00D55D0E"/>
    <w:rsid w:val="00D65481"/>
    <w:rsid w:val="00D656AC"/>
    <w:rsid w:val="00D72F37"/>
    <w:rsid w:val="00D748C5"/>
    <w:rsid w:val="00D9374B"/>
    <w:rsid w:val="00D9668C"/>
    <w:rsid w:val="00DA1541"/>
    <w:rsid w:val="00DA7DB2"/>
    <w:rsid w:val="00DB4790"/>
    <w:rsid w:val="00DB56AE"/>
    <w:rsid w:val="00DC12BD"/>
    <w:rsid w:val="00DC14B0"/>
    <w:rsid w:val="00DC15CD"/>
    <w:rsid w:val="00DC4564"/>
    <w:rsid w:val="00DC7980"/>
    <w:rsid w:val="00DD2BC0"/>
    <w:rsid w:val="00DD2F6F"/>
    <w:rsid w:val="00DE24A0"/>
    <w:rsid w:val="00DE37ED"/>
    <w:rsid w:val="00DE5AA2"/>
    <w:rsid w:val="00DF0780"/>
    <w:rsid w:val="00DF2AA3"/>
    <w:rsid w:val="00DF35DB"/>
    <w:rsid w:val="00DF587B"/>
    <w:rsid w:val="00DF5E6D"/>
    <w:rsid w:val="00E1425A"/>
    <w:rsid w:val="00E152FC"/>
    <w:rsid w:val="00E32A8A"/>
    <w:rsid w:val="00E370BE"/>
    <w:rsid w:val="00E43874"/>
    <w:rsid w:val="00E45DE1"/>
    <w:rsid w:val="00E50022"/>
    <w:rsid w:val="00E65049"/>
    <w:rsid w:val="00E65E1F"/>
    <w:rsid w:val="00E70834"/>
    <w:rsid w:val="00E74EFF"/>
    <w:rsid w:val="00E76216"/>
    <w:rsid w:val="00E82EDD"/>
    <w:rsid w:val="00E83826"/>
    <w:rsid w:val="00E91FA6"/>
    <w:rsid w:val="00E97D00"/>
    <w:rsid w:val="00EA767D"/>
    <w:rsid w:val="00EB0B1D"/>
    <w:rsid w:val="00EB3C3D"/>
    <w:rsid w:val="00EC3F3C"/>
    <w:rsid w:val="00EC4016"/>
    <w:rsid w:val="00ED5D63"/>
    <w:rsid w:val="00EF0E6D"/>
    <w:rsid w:val="00EF571C"/>
    <w:rsid w:val="00F0225A"/>
    <w:rsid w:val="00F036CE"/>
    <w:rsid w:val="00F062EF"/>
    <w:rsid w:val="00F105FE"/>
    <w:rsid w:val="00F1363C"/>
    <w:rsid w:val="00F14B56"/>
    <w:rsid w:val="00F1716A"/>
    <w:rsid w:val="00F2371D"/>
    <w:rsid w:val="00F2449B"/>
    <w:rsid w:val="00F36DEC"/>
    <w:rsid w:val="00F37686"/>
    <w:rsid w:val="00F42F0D"/>
    <w:rsid w:val="00F51C4E"/>
    <w:rsid w:val="00F706AA"/>
    <w:rsid w:val="00F804EE"/>
    <w:rsid w:val="00F80EE8"/>
    <w:rsid w:val="00F85C40"/>
    <w:rsid w:val="00F90B83"/>
    <w:rsid w:val="00F959B8"/>
    <w:rsid w:val="00F97BBC"/>
    <w:rsid w:val="00FA58EF"/>
    <w:rsid w:val="00FA5C20"/>
    <w:rsid w:val="00FB109C"/>
    <w:rsid w:val="00FB1D61"/>
    <w:rsid w:val="00FB6244"/>
    <w:rsid w:val="00FC0F49"/>
    <w:rsid w:val="00FD6550"/>
    <w:rsid w:val="00FD6D74"/>
    <w:rsid w:val="00FD79C7"/>
    <w:rsid w:val="00FE5891"/>
    <w:rsid w:val="00FE634B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02E0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3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6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spolicyforu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Denise Guttery</cp:lastModifiedBy>
  <cp:revision>3</cp:revision>
  <dcterms:created xsi:type="dcterms:W3CDTF">2022-03-31T17:57:00Z</dcterms:created>
  <dcterms:modified xsi:type="dcterms:W3CDTF">2022-03-31T17:58:00Z</dcterms:modified>
</cp:coreProperties>
</file>