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62B3" w:rsidRPr="00DF5622" w:rsidRDefault="004C6E67" w:rsidP="005B62B3">
      <w:pPr>
        <w:pStyle w:val="Heading1"/>
        <w:shd w:val="clear" w:color="auto" w:fill="FFFFFF"/>
        <w:spacing w:before="0" w:beforeAutospacing="0" w:after="0" w:afterAutospacing="0"/>
        <w:rPr>
          <w:rFonts w:asciiTheme="minorHAnsi" w:hAnsiTheme="minorHAnsi" w:cstheme="minorHAnsi"/>
          <w:sz w:val="22"/>
          <w:szCs w:val="22"/>
        </w:rPr>
      </w:pPr>
      <w:r w:rsidRPr="00DF5622">
        <w:rPr>
          <w:rFonts w:asciiTheme="minorHAnsi" w:hAnsiTheme="minorHAnsi" w:cstheme="minorHAnsi"/>
          <w:sz w:val="22"/>
          <w:szCs w:val="22"/>
        </w:rPr>
        <w:t>F</w:t>
      </w:r>
      <w:r w:rsidR="003A2355" w:rsidRPr="00DF5622">
        <w:rPr>
          <w:rFonts w:asciiTheme="minorHAnsi" w:hAnsiTheme="minorHAnsi" w:cstheme="minorHAnsi"/>
          <w:sz w:val="22"/>
          <w:szCs w:val="22"/>
        </w:rPr>
        <w:t xml:space="preserve">iscal Facts:  </w:t>
      </w:r>
      <w:r w:rsidR="005B62B3" w:rsidRPr="00DF5622">
        <w:rPr>
          <w:rStyle w:val="Strong"/>
          <w:rFonts w:asciiTheme="minorHAnsi" w:hAnsiTheme="minorHAnsi" w:cstheme="minorHAnsi"/>
          <w:b/>
          <w:bCs/>
          <w:sz w:val="22"/>
          <w:szCs w:val="22"/>
        </w:rPr>
        <w:t>State's share of public spending rises</w:t>
      </w:r>
    </w:p>
    <w:p w:rsidR="00DF5622" w:rsidRPr="00DF5622" w:rsidRDefault="00067CFC" w:rsidP="00DF5622">
      <w:pPr>
        <w:spacing w:after="0" w:line="240" w:lineRule="auto"/>
        <w:rPr>
          <w:rFonts w:cstheme="minorHAnsi"/>
        </w:rPr>
      </w:pPr>
      <w:r w:rsidRPr="00DF5622">
        <w:rPr>
          <w:rFonts w:cstheme="minorHAnsi"/>
          <w:color w:val="222222"/>
        </w:rPr>
        <w:br/>
      </w:r>
      <w:r w:rsidR="00DF5622" w:rsidRPr="00DF5622">
        <w:rPr>
          <w:rFonts w:cstheme="minorHAnsi"/>
        </w:rPr>
        <w:t>In a gradual but far-reaching shift, the state government in recent years has accounted for a much larger share of public spending in Wisconsin than a quarter-century ago, increasing from 38.7% in 1993 to 47.6% in 2017, according to U.S. Census Bureau data. As a result, the balance of spending in Wisconsin is nearly evenly split between local government services (such as K-12 schools, police and fire, and local roads) and state services (such as health care for low-income residents, prisons, state highways, and the University of Wisconsin System).</w:t>
      </w:r>
    </w:p>
    <w:p w:rsidR="00DF5622" w:rsidRPr="00DF5622" w:rsidRDefault="00DF5622" w:rsidP="00DF5622">
      <w:pPr>
        <w:spacing w:after="0" w:line="240" w:lineRule="auto"/>
        <w:rPr>
          <w:rFonts w:cstheme="minorHAnsi"/>
        </w:rPr>
      </w:pPr>
    </w:p>
    <w:p w:rsidR="00DF5622" w:rsidRPr="00DF5622" w:rsidRDefault="00DF5622" w:rsidP="00DF5622">
      <w:pPr>
        <w:spacing w:after="0" w:line="240" w:lineRule="auto"/>
        <w:rPr>
          <w:rFonts w:cstheme="minorHAnsi"/>
        </w:rPr>
      </w:pPr>
      <w:r w:rsidRPr="00DF5622">
        <w:rPr>
          <w:rFonts w:cstheme="minorHAnsi"/>
        </w:rPr>
        <w:t>Higher state spending in areas like health care for low-income residents and slower growth in local government and school district revenues helped even the allocations. For example, sharply increased state spending on public welfare programs such as Medicaid and Temporary Assistance for Needy Families, increased from 30.9% of direct general expenditures to 41% between 1997 and 2017.</w:t>
      </w:r>
    </w:p>
    <w:p w:rsidR="00DF5622" w:rsidRPr="00DF5622" w:rsidRDefault="00DF5622" w:rsidP="00DF5622">
      <w:pPr>
        <w:spacing w:after="0" w:line="240" w:lineRule="auto"/>
        <w:rPr>
          <w:rFonts w:cstheme="minorHAnsi"/>
        </w:rPr>
      </w:pPr>
    </w:p>
    <w:p w:rsidR="00DF5622" w:rsidRPr="00DF5622" w:rsidRDefault="00DF5622" w:rsidP="00DF5622">
      <w:pPr>
        <w:spacing w:after="0" w:line="240" w:lineRule="auto"/>
        <w:rPr>
          <w:rFonts w:cstheme="minorHAnsi"/>
        </w:rPr>
      </w:pPr>
      <w:r w:rsidRPr="00DF5622">
        <w:rPr>
          <w:rFonts w:cstheme="minorHAnsi"/>
        </w:rPr>
        <w:t>Meanwhile, the share of state spending on payments to other governments dropped from 38.4% of all state spending to 26.6% between 1997 and 2017. Constrained by a decreasing portion of state aid and limits on property tax increases, local governments have increased their spending slightly above the rate of inflation, but at less than half the rate at which state spending increased.</w:t>
      </w:r>
    </w:p>
    <w:p w:rsidR="00DF5622" w:rsidRPr="00DF5622" w:rsidRDefault="00DF5622" w:rsidP="00DF5622">
      <w:pPr>
        <w:spacing w:after="0" w:line="240" w:lineRule="auto"/>
        <w:rPr>
          <w:rFonts w:cstheme="minorHAnsi"/>
        </w:rPr>
      </w:pPr>
    </w:p>
    <w:p w:rsidR="00DF5622" w:rsidRPr="00DF5622" w:rsidRDefault="00DF5622" w:rsidP="00DF5622">
      <w:pPr>
        <w:spacing w:after="0" w:line="240" w:lineRule="auto"/>
        <w:rPr>
          <w:rFonts w:cstheme="minorHAnsi"/>
        </w:rPr>
      </w:pPr>
      <w:r w:rsidRPr="00DF5622">
        <w:rPr>
          <w:rFonts w:cstheme="minorHAnsi"/>
        </w:rPr>
        <w:t>While this data predates the coronavirus pandemic, the trend will likely continue given the increased need for welfare spending to counter high unemployment during the outbreak. Without additional federal aid, state leaders will likely have to consider spending cuts that may extend to aid to schools and local governments.</w:t>
      </w:r>
    </w:p>
    <w:p w:rsidR="00DF5622" w:rsidRPr="00DF5622" w:rsidRDefault="00DF5622" w:rsidP="00DF5622">
      <w:pPr>
        <w:spacing w:after="0" w:line="240" w:lineRule="auto"/>
        <w:rPr>
          <w:rFonts w:cstheme="minorHAnsi"/>
        </w:rPr>
      </w:pPr>
    </w:p>
    <w:p w:rsidR="00DF5622" w:rsidRPr="00DF5622" w:rsidRDefault="00DF5622" w:rsidP="00DF5622">
      <w:pPr>
        <w:spacing w:after="0" w:line="240" w:lineRule="auto"/>
        <w:rPr>
          <w:rFonts w:cstheme="minorHAnsi"/>
        </w:rPr>
      </w:pPr>
      <w:r w:rsidRPr="00DF5622">
        <w:rPr>
          <w:rFonts w:cstheme="minorHAnsi"/>
        </w:rPr>
        <w:t>These decisions could have profound effects on state and local taxes and their shares of spending. The Great Recession, for example, caused state individual income and sales tax collections to decrease from 2008 to 2010 by 11% and 8%, respectively. Meanwhile, local property taxes, core revenues which are typically more stable during a recession, actually increased by more than $1 billion. These trends should be considered by policymakers as they contemplate COVID-19 responses and the next state budget.</w:t>
      </w:r>
    </w:p>
    <w:p w:rsidR="00DF5622" w:rsidRPr="00DF5622" w:rsidRDefault="00DF5622" w:rsidP="00DF5622">
      <w:pPr>
        <w:spacing w:after="0" w:line="240" w:lineRule="auto"/>
        <w:rPr>
          <w:rFonts w:cstheme="minorHAnsi"/>
        </w:rPr>
      </w:pPr>
    </w:p>
    <w:p w:rsidR="00BF4E44" w:rsidRPr="00DF5622" w:rsidRDefault="00DF5622" w:rsidP="00DF5622">
      <w:pPr>
        <w:spacing w:after="0" w:line="240" w:lineRule="auto"/>
        <w:rPr>
          <w:rFonts w:cstheme="minorHAnsi"/>
          <w:i/>
          <w:iCs/>
        </w:rPr>
      </w:pPr>
      <w:r w:rsidRPr="00DF5622">
        <w:rPr>
          <w:rFonts w:cstheme="minorHAnsi"/>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BF4E44" w:rsidRPr="00DF5622" w:rsidSect="00D46D2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A71C6"/>
    <w:multiLevelType w:val="multilevel"/>
    <w:tmpl w:val="2ADE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820F2"/>
    <w:multiLevelType w:val="multilevel"/>
    <w:tmpl w:val="2834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659C0"/>
    <w:multiLevelType w:val="multilevel"/>
    <w:tmpl w:val="D68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04943"/>
    <w:rsid w:val="000162DA"/>
    <w:rsid w:val="0004079E"/>
    <w:rsid w:val="000418AF"/>
    <w:rsid w:val="0006087F"/>
    <w:rsid w:val="00062BC0"/>
    <w:rsid w:val="00066D29"/>
    <w:rsid w:val="00067CFC"/>
    <w:rsid w:val="00073F3E"/>
    <w:rsid w:val="00090C58"/>
    <w:rsid w:val="0009400D"/>
    <w:rsid w:val="000971AF"/>
    <w:rsid w:val="000A48B8"/>
    <w:rsid w:val="000A7173"/>
    <w:rsid w:val="000B32A7"/>
    <w:rsid w:val="000C1505"/>
    <w:rsid w:val="000D7B92"/>
    <w:rsid w:val="000E09C7"/>
    <w:rsid w:val="000E2259"/>
    <w:rsid w:val="000F6B98"/>
    <w:rsid w:val="00102C45"/>
    <w:rsid w:val="00107178"/>
    <w:rsid w:val="00113497"/>
    <w:rsid w:val="0013748C"/>
    <w:rsid w:val="00143946"/>
    <w:rsid w:val="0014397C"/>
    <w:rsid w:val="00153528"/>
    <w:rsid w:val="0017006B"/>
    <w:rsid w:val="0018586A"/>
    <w:rsid w:val="0019055C"/>
    <w:rsid w:val="00194EC1"/>
    <w:rsid w:val="001953F0"/>
    <w:rsid w:val="001A4DA8"/>
    <w:rsid w:val="001B21BD"/>
    <w:rsid w:val="001C4AD3"/>
    <w:rsid w:val="001C6FFE"/>
    <w:rsid w:val="001E00D8"/>
    <w:rsid w:val="001E5C4A"/>
    <w:rsid w:val="001F219F"/>
    <w:rsid w:val="001F37AE"/>
    <w:rsid w:val="002075AC"/>
    <w:rsid w:val="00221DB4"/>
    <w:rsid w:val="0023386D"/>
    <w:rsid w:val="002523F1"/>
    <w:rsid w:val="0025734A"/>
    <w:rsid w:val="00271ADC"/>
    <w:rsid w:val="00275F91"/>
    <w:rsid w:val="002B2B4C"/>
    <w:rsid w:val="002B5AE2"/>
    <w:rsid w:val="002E4AED"/>
    <w:rsid w:val="002E4C54"/>
    <w:rsid w:val="002E5D4F"/>
    <w:rsid w:val="002F7F33"/>
    <w:rsid w:val="00300B88"/>
    <w:rsid w:val="00321FF2"/>
    <w:rsid w:val="0033200F"/>
    <w:rsid w:val="0033314B"/>
    <w:rsid w:val="00335E93"/>
    <w:rsid w:val="00356C68"/>
    <w:rsid w:val="00365BD6"/>
    <w:rsid w:val="00370D11"/>
    <w:rsid w:val="00371E28"/>
    <w:rsid w:val="0038492D"/>
    <w:rsid w:val="003A2355"/>
    <w:rsid w:val="003B0C6D"/>
    <w:rsid w:val="003B319B"/>
    <w:rsid w:val="003B699B"/>
    <w:rsid w:val="003C52FA"/>
    <w:rsid w:val="003D2845"/>
    <w:rsid w:val="003E0C31"/>
    <w:rsid w:val="0040718B"/>
    <w:rsid w:val="00407BD0"/>
    <w:rsid w:val="00431FF7"/>
    <w:rsid w:val="00443292"/>
    <w:rsid w:val="004504F8"/>
    <w:rsid w:val="00450E8C"/>
    <w:rsid w:val="00475EEA"/>
    <w:rsid w:val="00491C24"/>
    <w:rsid w:val="004941F1"/>
    <w:rsid w:val="004A6037"/>
    <w:rsid w:val="004A7293"/>
    <w:rsid w:val="004C6E67"/>
    <w:rsid w:val="004C7BBA"/>
    <w:rsid w:val="00502A41"/>
    <w:rsid w:val="005702A6"/>
    <w:rsid w:val="005B62B3"/>
    <w:rsid w:val="005C59D5"/>
    <w:rsid w:val="005D1A89"/>
    <w:rsid w:val="005D699A"/>
    <w:rsid w:val="005F12C3"/>
    <w:rsid w:val="005F73E0"/>
    <w:rsid w:val="00623E70"/>
    <w:rsid w:val="00627FB1"/>
    <w:rsid w:val="0063250D"/>
    <w:rsid w:val="00645DAD"/>
    <w:rsid w:val="00666E16"/>
    <w:rsid w:val="00685E68"/>
    <w:rsid w:val="006A0B65"/>
    <w:rsid w:val="006A1AD1"/>
    <w:rsid w:val="006C5ECD"/>
    <w:rsid w:val="006D5093"/>
    <w:rsid w:val="006F1D62"/>
    <w:rsid w:val="0070612F"/>
    <w:rsid w:val="00713C5F"/>
    <w:rsid w:val="00724CCE"/>
    <w:rsid w:val="00725F02"/>
    <w:rsid w:val="00730CDA"/>
    <w:rsid w:val="00741239"/>
    <w:rsid w:val="00751477"/>
    <w:rsid w:val="00765628"/>
    <w:rsid w:val="007712CE"/>
    <w:rsid w:val="007A299D"/>
    <w:rsid w:val="007A5D38"/>
    <w:rsid w:val="007A6D8F"/>
    <w:rsid w:val="007B5849"/>
    <w:rsid w:val="007E16E3"/>
    <w:rsid w:val="00800198"/>
    <w:rsid w:val="00804D22"/>
    <w:rsid w:val="00834283"/>
    <w:rsid w:val="00843BEE"/>
    <w:rsid w:val="008500E1"/>
    <w:rsid w:val="00850D71"/>
    <w:rsid w:val="00877AB9"/>
    <w:rsid w:val="00895DF6"/>
    <w:rsid w:val="008A0D8B"/>
    <w:rsid w:val="008A377F"/>
    <w:rsid w:val="008B1456"/>
    <w:rsid w:val="008C0970"/>
    <w:rsid w:val="008C2314"/>
    <w:rsid w:val="008C62BA"/>
    <w:rsid w:val="008F7AB4"/>
    <w:rsid w:val="00911F62"/>
    <w:rsid w:val="00922DCF"/>
    <w:rsid w:val="0093340B"/>
    <w:rsid w:val="009707A6"/>
    <w:rsid w:val="00976557"/>
    <w:rsid w:val="00982F5D"/>
    <w:rsid w:val="00986C5D"/>
    <w:rsid w:val="00990D8F"/>
    <w:rsid w:val="0099585E"/>
    <w:rsid w:val="009B1EC4"/>
    <w:rsid w:val="009C7716"/>
    <w:rsid w:val="009D1906"/>
    <w:rsid w:val="009F7453"/>
    <w:rsid w:val="009F75CC"/>
    <w:rsid w:val="00A03D03"/>
    <w:rsid w:val="00A105A3"/>
    <w:rsid w:val="00A11497"/>
    <w:rsid w:val="00A13A4B"/>
    <w:rsid w:val="00A37AE9"/>
    <w:rsid w:val="00A414F2"/>
    <w:rsid w:val="00A4180B"/>
    <w:rsid w:val="00A55382"/>
    <w:rsid w:val="00A5751C"/>
    <w:rsid w:val="00A669D6"/>
    <w:rsid w:val="00A7001F"/>
    <w:rsid w:val="00A96A88"/>
    <w:rsid w:val="00AA1027"/>
    <w:rsid w:val="00AB352F"/>
    <w:rsid w:val="00AC6B92"/>
    <w:rsid w:val="00AD4397"/>
    <w:rsid w:val="00AE0196"/>
    <w:rsid w:val="00B05DB1"/>
    <w:rsid w:val="00B30B4A"/>
    <w:rsid w:val="00B428B4"/>
    <w:rsid w:val="00B43479"/>
    <w:rsid w:val="00B57113"/>
    <w:rsid w:val="00B577FE"/>
    <w:rsid w:val="00B63131"/>
    <w:rsid w:val="00B66A12"/>
    <w:rsid w:val="00BC49D4"/>
    <w:rsid w:val="00BC5280"/>
    <w:rsid w:val="00BC704F"/>
    <w:rsid w:val="00BF4E44"/>
    <w:rsid w:val="00C0773E"/>
    <w:rsid w:val="00C30B29"/>
    <w:rsid w:val="00C30D6B"/>
    <w:rsid w:val="00C36008"/>
    <w:rsid w:val="00C438ED"/>
    <w:rsid w:val="00C61160"/>
    <w:rsid w:val="00C63EE7"/>
    <w:rsid w:val="00C87EA4"/>
    <w:rsid w:val="00CA611F"/>
    <w:rsid w:val="00CB2369"/>
    <w:rsid w:val="00CC1B0F"/>
    <w:rsid w:val="00CC6EB4"/>
    <w:rsid w:val="00CC7C0E"/>
    <w:rsid w:val="00CE08A7"/>
    <w:rsid w:val="00CE5FA4"/>
    <w:rsid w:val="00CF4BED"/>
    <w:rsid w:val="00D005BE"/>
    <w:rsid w:val="00D1099B"/>
    <w:rsid w:val="00D224CE"/>
    <w:rsid w:val="00D26F2B"/>
    <w:rsid w:val="00D46D27"/>
    <w:rsid w:val="00D56799"/>
    <w:rsid w:val="00D62938"/>
    <w:rsid w:val="00D75DEA"/>
    <w:rsid w:val="00D80D56"/>
    <w:rsid w:val="00D8210D"/>
    <w:rsid w:val="00D8371E"/>
    <w:rsid w:val="00DA0080"/>
    <w:rsid w:val="00DD3DC1"/>
    <w:rsid w:val="00DF5622"/>
    <w:rsid w:val="00E44160"/>
    <w:rsid w:val="00E56376"/>
    <w:rsid w:val="00E56578"/>
    <w:rsid w:val="00E6371E"/>
    <w:rsid w:val="00E74C9F"/>
    <w:rsid w:val="00E81178"/>
    <w:rsid w:val="00E85044"/>
    <w:rsid w:val="00EB2E08"/>
    <w:rsid w:val="00EB3EE2"/>
    <w:rsid w:val="00ED0187"/>
    <w:rsid w:val="00EE43A5"/>
    <w:rsid w:val="00EE7C2A"/>
    <w:rsid w:val="00EF6855"/>
    <w:rsid w:val="00F062CE"/>
    <w:rsid w:val="00F076C8"/>
    <w:rsid w:val="00F12C67"/>
    <w:rsid w:val="00F208CE"/>
    <w:rsid w:val="00F21A32"/>
    <w:rsid w:val="00F810A6"/>
    <w:rsid w:val="00F8481E"/>
    <w:rsid w:val="00F879AD"/>
    <w:rsid w:val="00F92A4F"/>
    <w:rsid w:val="00F9555E"/>
    <w:rsid w:val="00FB0A74"/>
    <w:rsid w:val="00FB2E89"/>
    <w:rsid w:val="00FD271E"/>
    <w:rsid w:val="00FE0124"/>
    <w:rsid w:val="00FE2348"/>
    <w:rsid w:val="00FE271F"/>
    <w:rsid w:val="00FE3EE9"/>
    <w:rsid w:val="00FF0B45"/>
    <w:rsid w:val="00FF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7103"/>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586A"/>
    <w:rPr>
      <w:b/>
      <w:bCs/>
    </w:rPr>
  </w:style>
  <w:style w:type="paragraph" w:customStyle="1" w:styleId="contentsegment">
    <w:name w:val="content__segment"/>
    <w:basedOn w:val="Normal"/>
    <w:rsid w:val="001E5C4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6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88">
      <w:bodyDiv w:val="1"/>
      <w:marLeft w:val="0"/>
      <w:marRight w:val="0"/>
      <w:marTop w:val="0"/>
      <w:marBottom w:val="0"/>
      <w:divBdr>
        <w:top w:val="none" w:sz="0" w:space="0" w:color="auto"/>
        <w:left w:val="none" w:sz="0" w:space="0" w:color="auto"/>
        <w:bottom w:val="none" w:sz="0" w:space="0" w:color="auto"/>
        <w:right w:val="none" w:sz="0" w:space="0" w:color="auto"/>
      </w:divBdr>
    </w:div>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216012966">
      <w:bodyDiv w:val="1"/>
      <w:marLeft w:val="0"/>
      <w:marRight w:val="0"/>
      <w:marTop w:val="0"/>
      <w:marBottom w:val="0"/>
      <w:divBdr>
        <w:top w:val="none" w:sz="0" w:space="0" w:color="auto"/>
        <w:left w:val="none" w:sz="0" w:space="0" w:color="auto"/>
        <w:bottom w:val="none" w:sz="0" w:space="0" w:color="auto"/>
        <w:right w:val="none" w:sz="0" w:space="0" w:color="auto"/>
      </w:divBdr>
    </w:div>
    <w:div w:id="282927443">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523714817">
      <w:bodyDiv w:val="1"/>
      <w:marLeft w:val="0"/>
      <w:marRight w:val="0"/>
      <w:marTop w:val="0"/>
      <w:marBottom w:val="0"/>
      <w:divBdr>
        <w:top w:val="none" w:sz="0" w:space="0" w:color="auto"/>
        <w:left w:val="none" w:sz="0" w:space="0" w:color="auto"/>
        <w:bottom w:val="none" w:sz="0" w:space="0" w:color="auto"/>
        <w:right w:val="none" w:sz="0" w:space="0" w:color="auto"/>
      </w:divBdr>
    </w:div>
    <w:div w:id="548759152">
      <w:bodyDiv w:val="1"/>
      <w:marLeft w:val="0"/>
      <w:marRight w:val="0"/>
      <w:marTop w:val="0"/>
      <w:marBottom w:val="0"/>
      <w:divBdr>
        <w:top w:val="none" w:sz="0" w:space="0" w:color="auto"/>
        <w:left w:val="none" w:sz="0" w:space="0" w:color="auto"/>
        <w:bottom w:val="none" w:sz="0" w:space="0" w:color="auto"/>
        <w:right w:val="none" w:sz="0" w:space="0" w:color="auto"/>
      </w:divBdr>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659503226">
      <w:bodyDiv w:val="1"/>
      <w:marLeft w:val="0"/>
      <w:marRight w:val="0"/>
      <w:marTop w:val="0"/>
      <w:marBottom w:val="0"/>
      <w:divBdr>
        <w:top w:val="none" w:sz="0" w:space="0" w:color="auto"/>
        <w:left w:val="none" w:sz="0" w:space="0" w:color="auto"/>
        <w:bottom w:val="none" w:sz="0" w:space="0" w:color="auto"/>
        <w:right w:val="none" w:sz="0" w:space="0" w:color="auto"/>
      </w:divBdr>
    </w:div>
    <w:div w:id="661666324">
      <w:bodyDiv w:val="1"/>
      <w:marLeft w:val="0"/>
      <w:marRight w:val="0"/>
      <w:marTop w:val="0"/>
      <w:marBottom w:val="0"/>
      <w:divBdr>
        <w:top w:val="none" w:sz="0" w:space="0" w:color="auto"/>
        <w:left w:val="none" w:sz="0" w:space="0" w:color="auto"/>
        <w:bottom w:val="none" w:sz="0" w:space="0" w:color="auto"/>
        <w:right w:val="none" w:sz="0" w:space="0" w:color="auto"/>
      </w:divBdr>
    </w:div>
    <w:div w:id="745952221">
      <w:bodyDiv w:val="1"/>
      <w:marLeft w:val="0"/>
      <w:marRight w:val="0"/>
      <w:marTop w:val="0"/>
      <w:marBottom w:val="0"/>
      <w:divBdr>
        <w:top w:val="none" w:sz="0" w:space="0" w:color="auto"/>
        <w:left w:val="none" w:sz="0" w:space="0" w:color="auto"/>
        <w:bottom w:val="none" w:sz="0" w:space="0" w:color="auto"/>
        <w:right w:val="none" w:sz="0" w:space="0" w:color="auto"/>
      </w:divBdr>
    </w:div>
    <w:div w:id="748384722">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899176284">
      <w:bodyDiv w:val="1"/>
      <w:marLeft w:val="0"/>
      <w:marRight w:val="0"/>
      <w:marTop w:val="0"/>
      <w:marBottom w:val="0"/>
      <w:divBdr>
        <w:top w:val="none" w:sz="0" w:space="0" w:color="auto"/>
        <w:left w:val="none" w:sz="0" w:space="0" w:color="auto"/>
        <w:bottom w:val="none" w:sz="0" w:space="0" w:color="auto"/>
        <w:right w:val="none" w:sz="0" w:space="0" w:color="auto"/>
      </w:divBdr>
    </w:div>
    <w:div w:id="1215507104">
      <w:bodyDiv w:val="1"/>
      <w:marLeft w:val="0"/>
      <w:marRight w:val="0"/>
      <w:marTop w:val="0"/>
      <w:marBottom w:val="0"/>
      <w:divBdr>
        <w:top w:val="none" w:sz="0" w:space="0" w:color="auto"/>
        <w:left w:val="none" w:sz="0" w:space="0" w:color="auto"/>
        <w:bottom w:val="none" w:sz="0" w:space="0" w:color="auto"/>
        <w:right w:val="none" w:sz="0" w:space="0" w:color="auto"/>
      </w:divBdr>
    </w:div>
    <w:div w:id="1317682249">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 w:id="1497651554">
      <w:bodyDiv w:val="1"/>
      <w:marLeft w:val="0"/>
      <w:marRight w:val="0"/>
      <w:marTop w:val="0"/>
      <w:marBottom w:val="0"/>
      <w:divBdr>
        <w:top w:val="none" w:sz="0" w:space="0" w:color="auto"/>
        <w:left w:val="none" w:sz="0" w:space="0" w:color="auto"/>
        <w:bottom w:val="none" w:sz="0" w:space="0" w:color="auto"/>
        <w:right w:val="none" w:sz="0" w:space="0" w:color="auto"/>
      </w:divBdr>
    </w:div>
    <w:div w:id="1557008317">
      <w:bodyDiv w:val="1"/>
      <w:marLeft w:val="0"/>
      <w:marRight w:val="0"/>
      <w:marTop w:val="0"/>
      <w:marBottom w:val="0"/>
      <w:divBdr>
        <w:top w:val="none" w:sz="0" w:space="0" w:color="auto"/>
        <w:left w:val="none" w:sz="0" w:space="0" w:color="auto"/>
        <w:bottom w:val="none" w:sz="0" w:space="0" w:color="auto"/>
        <w:right w:val="none" w:sz="0" w:space="0" w:color="auto"/>
      </w:divBdr>
    </w:div>
    <w:div w:id="1628002899">
      <w:bodyDiv w:val="1"/>
      <w:marLeft w:val="0"/>
      <w:marRight w:val="0"/>
      <w:marTop w:val="0"/>
      <w:marBottom w:val="0"/>
      <w:divBdr>
        <w:top w:val="none" w:sz="0" w:space="0" w:color="auto"/>
        <w:left w:val="none" w:sz="0" w:space="0" w:color="auto"/>
        <w:bottom w:val="none" w:sz="0" w:space="0" w:color="auto"/>
        <w:right w:val="none" w:sz="0" w:space="0" w:color="auto"/>
      </w:divBdr>
    </w:div>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 w:id="1924680711">
      <w:bodyDiv w:val="1"/>
      <w:marLeft w:val="0"/>
      <w:marRight w:val="0"/>
      <w:marTop w:val="0"/>
      <w:marBottom w:val="0"/>
      <w:divBdr>
        <w:top w:val="none" w:sz="0" w:space="0" w:color="auto"/>
        <w:left w:val="none" w:sz="0" w:space="0" w:color="auto"/>
        <w:bottom w:val="none" w:sz="0" w:space="0" w:color="auto"/>
        <w:right w:val="none" w:sz="0" w:space="0" w:color="auto"/>
      </w:divBdr>
    </w:div>
    <w:div w:id="2034065411">
      <w:bodyDiv w:val="1"/>
      <w:marLeft w:val="0"/>
      <w:marRight w:val="0"/>
      <w:marTop w:val="0"/>
      <w:marBottom w:val="0"/>
      <w:divBdr>
        <w:top w:val="none" w:sz="0" w:space="0" w:color="auto"/>
        <w:left w:val="none" w:sz="0" w:space="0" w:color="auto"/>
        <w:bottom w:val="none" w:sz="0" w:space="0" w:color="auto"/>
        <w:right w:val="none" w:sz="0" w:space="0" w:color="auto"/>
      </w:divBdr>
    </w:div>
    <w:div w:id="21393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C940-B45C-1440-A250-E6A383F6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10</cp:revision>
  <dcterms:created xsi:type="dcterms:W3CDTF">2020-08-03T15:06:00Z</dcterms:created>
  <dcterms:modified xsi:type="dcterms:W3CDTF">2020-08-06T14:06:00Z</dcterms:modified>
</cp:coreProperties>
</file>