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6B65F" w14:textId="77777777" w:rsidR="007A7B64" w:rsidRPr="00FB1A58" w:rsidRDefault="00A75792" w:rsidP="00FB1A58">
      <w:pPr>
        <w:pStyle w:val="NoParagraphStyle"/>
        <w:spacing w:line="240" w:lineRule="auto"/>
        <w:rPr>
          <w:rFonts w:asciiTheme="minorHAnsi" w:hAnsiTheme="minorHAnsi" w:cstheme="minorHAnsi"/>
          <w:b/>
          <w:color w:val="auto"/>
          <w:sz w:val="22"/>
          <w:szCs w:val="22"/>
        </w:rPr>
      </w:pPr>
      <w:r w:rsidRPr="00FB1A58">
        <w:rPr>
          <w:rFonts w:asciiTheme="minorHAnsi" w:hAnsiTheme="minorHAnsi" w:cstheme="minorHAnsi"/>
          <w:b/>
          <w:color w:val="auto"/>
          <w:sz w:val="22"/>
          <w:szCs w:val="22"/>
        </w:rPr>
        <w:t>Fiscal Facts:</w:t>
      </w:r>
      <w:r w:rsidR="00C81FCF" w:rsidRPr="00FB1A58">
        <w:rPr>
          <w:rFonts w:asciiTheme="minorHAnsi" w:hAnsiTheme="minorHAnsi" w:cstheme="minorHAnsi"/>
          <w:b/>
          <w:color w:val="auto"/>
          <w:sz w:val="22"/>
          <w:szCs w:val="22"/>
        </w:rPr>
        <w:t xml:space="preserve"> </w:t>
      </w:r>
      <w:r w:rsidR="001161A7">
        <w:rPr>
          <w:rFonts w:asciiTheme="minorHAnsi" w:hAnsiTheme="minorHAnsi" w:cstheme="minorHAnsi"/>
          <w:b/>
          <w:color w:val="auto"/>
          <w:sz w:val="22"/>
          <w:szCs w:val="22"/>
        </w:rPr>
        <w:t>Wisconsin’s Job Market Tilts Toward Higher-Wage, Higher-Education Occupations</w:t>
      </w:r>
    </w:p>
    <w:p w14:paraId="1DCF413E" w14:textId="77777777" w:rsidR="00FB1A58" w:rsidRPr="00FB1A58" w:rsidRDefault="00FB1A58" w:rsidP="00FB1A58">
      <w:pPr>
        <w:pStyle w:val="NoParagraphStyle"/>
        <w:spacing w:line="240" w:lineRule="auto"/>
        <w:rPr>
          <w:rFonts w:asciiTheme="minorHAnsi" w:hAnsiTheme="minorHAnsi" w:cstheme="minorHAnsi"/>
          <w:color w:val="auto"/>
          <w:sz w:val="22"/>
          <w:szCs w:val="22"/>
        </w:rPr>
      </w:pPr>
    </w:p>
    <w:p w14:paraId="41906554" w14:textId="77777777" w:rsidR="006B1149" w:rsidRPr="006B1149" w:rsidRDefault="006B1149" w:rsidP="006B1149">
      <w:pPr>
        <w:pStyle w:val="Bodytext"/>
        <w:spacing w:after="0" w:line="240" w:lineRule="auto"/>
        <w:ind w:firstLine="0"/>
        <w:rPr>
          <w:rStyle w:val="Emphasis"/>
          <w:rFonts w:asciiTheme="minorHAnsi" w:hAnsiTheme="minorHAnsi" w:cstheme="minorHAnsi"/>
          <w:bCs/>
          <w:i w:val="0"/>
          <w:color w:val="auto"/>
          <w:sz w:val="21"/>
          <w:szCs w:val="21"/>
          <w:shd w:val="clear" w:color="auto" w:fill="FFFFFF"/>
        </w:rPr>
      </w:pPr>
      <w:r w:rsidRPr="006B1149">
        <w:rPr>
          <w:rStyle w:val="Emphasis"/>
          <w:rFonts w:asciiTheme="minorHAnsi" w:hAnsiTheme="minorHAnsi" w:cstheme="minorHAnsi"/>
          <w:bCs/>
          <w:i w:val="0"/>
          <w:color w:val="auto"/>
          <w:sz w:val="21"/>
          <w:szCs w:val="21"/>
          <w:shd w:val="clear" w:color="auto" w:fill="FFFFFF"/>
        </w:rPr>
        <w:t>A decade after the Great Recession slammed the brakes on the U.S. economy, employment in Wisconsin has recovered and surged almost 72,000 jobs higher than its pre-recession peak.</w:t>
      </w:r>
    </w:p>
    <w:p w14:paraId="5B8C31D6" w14:textId="77777777" w:rsidR="006B1149" w:rsidRPr="006B1149" w:rsidRDefault="006B1149" w:rsidP="006B1149">
      <w:pPr>
        <w:pStyle w:val="Bodytext"/>
        <w:spacing w:after="0" w:line="240" w:lineRule="auto"/>
        <w:rPr>
          <w:rStyle w:val="Emphasis"/>
          <w:rFonts w:asciiTheme="minorHAnsi" w:hAnsiTheme="minorHAnsi" w:cstheme="minorHAnsi"/>
          <w:bCs/>
          <w:i w:val="0"/>
          <w:color w:val="auto"/>
          <w:sz w:val="21"/>
          <w:szCs w:val="21"/>
          <w:shd w:val="clear" w:color="auto" w:fill="FFFFFF"/>
        </w:rPr>
      </w:pPr>
    </w:p>
    <w:p w14:paraId="2C60D548" w14:textId="77777777" w:rsidR="006B1149" w:rsidRPr="006B1149" w:rsidRDefault="006B1149" w:rsidP="006B1149">
      <w:pPr>
        <w:pStyle w:val="Bodytext"/>
        <w:spacing w:after="0" w:line="240" w:lineRule="auto"/>
        <w:ind w:firstLine="0"/>
        <w:rPr>
          <w:rStyle w:val="Emphasis"/>
          <w:rFonts w:asciiTheme="minorHAnsi" w:hAnsiTheme="minorHAnsi" w:cstheme="minorHAnsi"/>
          <w:bCs/>
          <w:i w:val="0"/>
          <w:color w:val="auto"/>
          <w:sz w:val="21"/>
          <w:szCs w:val="21"/>
          <w:shd w:val="clear" w:color="auto" w:fill="FFFFFF"/>
        </w:rPr>
      </w:pPr>
      <w:r w:rsidRPr="006B1149">
        <w:rPr>
          <w:rStyle w:val="Emphasis"/>
          <w:rFonts w:asciiTheme="minorHAnsi" w:hAnsiTheme="minorHAnsi" w:cstheme="minorHAnsi"/>
          <w:bCs/>
          <w:i w:val="0"/>
          <w:color w:val="auto"/>
          <w:sz w:val="21"/>
          <w:szCs w:val="21"/>
          <w:shd w:val="clear" w:color="auto" w:fill="FFFFFF"/>
        </w:rPr>
        <w:t>However, that resurgence has not been uniform across sectors of the state’s economy, with higher-paying occupations requiring more education generally growing much more than lower-paying ones requiring less education.</w:t>
      </w:r>
    </w:p>
    <w:p w14:paraId="19E2EC46" w14:textId="77777777" w:rsidR="006B1149" w:rsidRPr="006B1149" w:rsidRDefault="006B1149" w:rsidP="006B1149">
      <w:pPr>
        <w:pStyle w:val="Bodytext"/>
        <w:spacing w:after="0" w:line="240" w:lineRule="auto"/>
        <w:rPr>
          <w:rStyle w:val="Emphasis"/>
          <w:rFonts w:asciiTheme="minorHAnsi" w:hAnsiTheme="minorHAnsi" w:cstheme="minorHAnsi"/>
          <w:bCs/>
          <w:i w:val="0"/>
          <w:color w:val="auto"/>
          <w:sz w:val="21"/>
          <w:szCs w:val="21"/>
          <w:shd w:val="clear" w:color="auto" w:fill="FFFFFF"/>
        </w:rPr>
      </w:pPr>
    </w:p>
    <w:p w14:paraId="318EE6FD" w14:textId="77777777" w:rsidR="006B1149" w:rsidRPr="006B1149" w:rsidRDefault="006B1149" w:rsidP="006B1149">
      <w:pPr>
        <w:pStyle w:val="Bodytext"/>
        <w:spacing w:after="0" w:line="240" w:lineRule="auto"/>
        <w:ind w:firstLine="0"/>
        <w:rPr>
          <w:rStyle w:val="Emphasis"/>
          <w:rFonts w:asciiTheme="minorHAnsi" w:hAnsiTheme="minorHAnsi" w:cstheme="minorHAnsi"/>
          <w:bCs/>
          <w:i w:val="0"/>
          <w:color w:val="auto"/>
          <w:sz w:val="21"/>
          <w:szCs w:val="21"/>
          <w:shd w:val="clear" w:color="auto" w:fill="FFFFFF"/>
        </w:rPr>
      </w:pPr>
      <w:r w:rsidRPr="006B1149">
        <w:rPr>
          <w:rStyle w:val="Emphasis"/>
          <w:rFonts w:asciiTheme="minorHAnsi" w:hAnsiTheme="minorHAnsi" w:cstheme="minorHAnsi"/>
          <w:bCs/>
          <w:i w:val="0"/>
          <w:color w:val="auto"/>
          <w:sz w:val="21"/>
          <w:szCs w:val="21"/>
          <w:shd w:val="clear" w:color="auto" w:fill="FFFFFF"/>
        </w:rPr>
        <w:t>A recent Wisconsin Policy Forum report analyzed 2018 occupational employment data from the U.S. Bureau of Labor Statistics going back to May 2008, when total employment last peaked in Wisconsin prior to the recession. This included a look at statewide trends among the 22 major occupational groups tracked by the bureau.</w:t>
      </w:r>
    </w:p>
    <w:p w14:paraId="52403C2B" w14:textId="77777777" w:rsidR="006B1149" w:rsidRPr="006B1149" w:rsidRDefault="006B1149" w:rsidP="006B1149">
      <w:pPr>
        <w:pStyle w:val="Bodytext"/>
        <w:spacing w:after="0" w:line="240" w:lineRule="auto"/>
        <w:rPr>
          <w:rStyle w:val="Emphasis"/>
          <w:rFonts w:asciiTheme="minorHAnsi" w:hAnsiTheme="minorHAnsi" w:cstheme="minorHAnsi"/>
          <w:bCs/>
          <w:i w:val="0"/>
          <w:color w:val="auto"/>
          <w:sz w:val="21"/>
          <w:szCs w:val="21"/>
          <w:shd w:val="clear" w:color="auto" w:fill="FFFFFF"/>
        </w:rPr>
      </w:pPr>
    </w:p>
    <w:p w14:paraId="055129AC" w14:textId="77777777" w:rsidR="006B1149" w:rsidRPr="006B1149" w:rsidRDefault="006B1149" w:rsidP="006B1149">
      <w:pPr>
        <w:pStyle w:val="Bodytext"/>
        <w:spacing w:after="0" w:line="240" w:lineRule="auto"/>
        <w:ind w:firstLine="0"/>
        <w:rPr>
          <w:rStyle w:val="Emphasis"/>
          <w:rFonts w:asciiTheme="minorHAnsi" w:hAnsiTheme="minorHAnsi" w:cstheme="minorHAnsi"/>
          <w:bCs/>
          <w:i w:val="0"/>
          <w:color w:val="auto"/>
          <w:sz w:val="21"/>
          <w:szCs w:val="21"/>
          <w:shd w:val="clear" w:color="auto" w:fill="FFFFFF"/>
        </w:rPr>
      </w:pPr>
      <w:r w:rsidRPr="006B1149">
        <w:rPr>
          <w:rStyle w:val="Emphasis"/>
          <w:rFonts w:asciiTheme="minorHAnsi" w:hAnsiTheme="minorHAnsi" w:cstheme="minorHAnsi"/>
          <w:bCs/>
          <w:i w:val="0"/>
          <w:color w:val="auto"/>
          <w:sz w:val="21"/>
          <w:szCs w:val="21"/>
          <w:shd w:val="clear" w:color="auto" w:fill="FFFFFF"/>
        </w:rPr>
        <w:t>The overall picture is clear: employment in the 11 highest-paying occupational groups — which each pay median wages of at least $42,000 annually — has grown by a combined 114,870 statewide during that time. Meanwhile, employment in the 11 lowest-paying occupational groups paying median wages of less than $42,000 has declined by a combined 42,990.</w:t>
      </w:r>
    </w:p>
    <w:p w14:paraId="15B85C1E" w14:textId="77777777" w:rsidR="006B1149" w:rsidRPr="006B1149" w:rsidRDefault="006B1149" w:rsidP="006B1149">
      <w:pPr>
        <w:pStyle w:val="Bodytext"/>
        <w:spacing w:after="0" w:line="240" w:lineRule="auto"/>
        <w:rPr>
          <w:rStyle w:val="Emphasis"/>
          <w:rFonts w:asciiTheme="minorHAnsi" w:hAnsiTheme="minorHAnsi" w:cstheme="minorHAnsi"/>
          <w:bCs/>
          <w:i w:val="0"/>
          <w:color w:val="auto"/>
          <w:sz w:val="21"/>
          <w:szCs w:val="21"/>
          <w:shd w:val="clear" w:color="auto" w:fill="FFFFFF"/>
        </w:rPr>
      </w:pPr>
    </w:p>
    <w:p w14:paraId="5CB299F4" w14:textId="77777777" w:rsidR="006B1149" w:rsidRPr="006B1149" w:rsidRDefault="006B1149" w:rsidP="006B1149">
      <w:pPr>
        <w:pStyle w:val="Bodytext"/>
        <w:spacing w:after="0" w:line="240" w:lineRule="auto"/>
        <w:ind w:firstLine="0"/>
        <w:rPr>
          <w:rStyle w:val="Emphasis"/>
          <w:rFonts w:asciiTheme="minorHAnsi" w:hAnsiTheme="minorHAnsi" w:cstheme="minorHAnsi"/>
          <w:bCs/>
          <w:i w:val="0"/>
          <w:color w:val="auto"/>
          <w:sz w:val="21"/>
          <w:szCs w:val="21"/>
          <w:shd w:val="clear" w:color="auto" w:fill="FFFFFF"/>
        </w:rPr>
      </w:pPr>
      <w:r w:rsidRPr="006B1149">
        <w:rPr>
          <w:rStyle w:val="Emphasis"/>
          <w:rFonts w:asciiTheme="minorHAnsi" w:hAnsiTheme="minorHAnsi" w:cstheme="minorHAnsi"/>
          <w:bCs/>
          <w:i w:val="0"/>
          <w:color w:val="auto"/>
          <w:sz w:val="21"/>
          <w:szCs w:val="21"/>
          <w:shd w:val="clear" w:color="auto" w:fill="FFFFFF"/>
        </w:rPr>
        <w:t>Four of the five occupational groups that added the most jobs pay median annual wages of at least $60,000: business and financial operations, computer and mathematical, healthcare practitioners and technical, and management.</w:t>
      </w:r>
    </w:p>
    <w:p w14:paraId="4AC9022D" w14:textId="77777777" w:rsidR="006B1149" w:rsidRPr="006B1149" w:rsidRDefault="006B1149" w:rsidP="006B1149">
      <w:pPr>
        <w:pStyle w:val="Bodytext"/>
        <w:spacing w:after="0" w:line="240" w:lineRule="auto"/>
        <w:rPr>
          <w:rStyle w:val="Emphasis"/>
          <w:rFonts w:asciiTheme="minorHAnsi" w:hAnsiTheme="minorHAnsi" w:cstheme="minorHAnsi"/>
          <w:bCs/>
          <w:i w:val="0"/>
          <w:color w:val="auto"/>
          <w:sz w:val="21"/>
          <w:szCs w:val="21"/>
          <w:shd w:val="clear" w:color="auto" w:fill="FFFFFF"/>
        </w:rPr>
      </w:pPr>
    </w:p>
    <w:p w14:paraId="1C655EB4" w14:textId="77777777" w:rsidR="006B1149" w:rsidRPr="006B1149" w:rsidRDefault="006B1149" w:rsidP="006B1149">
      <w:pPr>
        <w:pStyle w:val="Bodytext"/>
        <w:spacing w:after="0" w:line="240" w:lineRule="auto"/>
        <w:ind w:firstLine="0"/>
        <w:rPr>
          <w:rStyle w:val="Emphasis"/>
          <w:rFonts w:asciiTheme="minorHAnsi" w:hAnsiTheme="minorHAnsi" w:cstheme="minorHAnsi"/>
          <w:bCs/>
          <w:i w:val="0"/>
          <w:color w:val="auto"/>
          <w:sz w:val="21"/>
          <w:szCs w:val="21"/>
          <w:shd w:val="clear" w:color="auto" w:fill="FFFFFF"/>
        </w:rPr>
      </w:pPr>
      <w:r w:rsidRPr="006B1149">
        <w:rPr>
          <w:rStyle w:val="Emphasis"/>
          <w:rFonts w:asciiTheme="minorHAnsi" w:hAnsiTheme="minorHAnsi" w:cstheme="minorHAnsi"/>
          <w:bCs/>
          <w:i w:val="0"/>
          <w:color w:val="auto"/>
          <w:sz w:val="21"/>
          <w:szCs w:val="21"/>
          <w:shd w:val="clear" w:color="auto" w:fill="FFFFFF"/>
        </w:rPr>
        <w:t>These occupations also typically require higher levels of education and training than many of the occupations in decline. One notable exception was personal care and service occupations, which have shown the most growth overall and pay relatively low wages.</w:t>
      </w:r>
    </w:p>
    <w:p w14:paraId="77EED782" w14:textId="77777777" w:rsidR="006B1149" w:rsidRPr="006B1149" w:rsidRDefault="006B1149" w:rsidP="006B1149">
      <w:pPr>
        <w:pStyle w:val="Bodytext"/>
        <w:spacing w:after="0" w:line="240" w:lineRule="auto"/>
        <w:rPr>
          <w:rStyle w:val="Emphasis"/>
          <w:rFonts w:asciiTheme="minorHAnsi" w:hAnsiTheme="minorHAnsi" w:cstheme="minorHAnsi"/>
          <w:bCs/>
          <w:i w:val="0"/>
          <w:color w:val="auto"/>
          <w:sz w:val="21"/>
          <w:szCs w:val="21"/>
          <w:shd w:val="clear" w:color="auto" w:fill="FFFFFF"/>
        </w:rPr>
      </w:pPr>
    </w:p>
    <w:p w14:paraId="20CE984E" w14:textId="77777777" w:rsidR="006B1149" w:rsidRPr="006B1149" w:rsidRDefault="006B1149" w:rsidP="006B1149">
      <w:pPr>
        <w:pStyle w:val="Bodytext"/>
        <w:spacing w:after="0" w:line="240" w:lineRule="auto"/>
        <w:ind w:firstLine="0"/>
        <w:rPr>
          <w:rStyle w:val="Emphasis"/>
          <w:rFonts w:asciiTheme="minorHAnsi" w:hAnsiTheme="minorHAnsi" w:cstheme="minorHAnsi"/>
          <w:bCs/>
          <w:i w:val="0"/>
          <w:color w:val="auto"/>
          <w:sz w:val="21"/>
          <w:szCs w:val="21"/>
          <w:shd w:val="clear" w:color="auto" w:fill="FFFFFF"/>
        </w:rPr>
      </w:pPr>
      <w:r w:rsidRPr="006B1149">
        <w:rPr>
          <w:rStyle w:val="Emphasis"/>
          <w:rFonts w:asciiTheme="minorHAnsi" w:hAnsiTheme="minorHAnsi" w:cstheme="minorHAnsi"/>
          <w:bCs/>
          <w:i w:val="0"/>
          <w:color w:val="auto"/>
          <w:sz w:val="21"/>
          <w:szCs w:val="21"/>
          <w:shd w:val="clear" w:color="auto" w:fill="FFFFFF"/>
        </w:rPr>
        <w:t>On the other end of the spectrum, employment has fallen by the largest numbers in five occupational groups that each pay median wages under $36,000 annually. These include office and administrative support workers, sales and related jobs, building and grounds cleaning and maintenance positions, healthcare support jobs, and transportation and materials employees.</w:t>
      </w:r>
    </w:p>
    <w:p w14:paraId="30B5A867" w14:textId="77777777" w:rsidR="006B1149" w:rsidRPr="006B1149" w:rsidRDefault="006B1149" w:rsidP="006B1149">
      <w:pPr>
        <w:pStyle w:val="Bodytext"/>
        <w:spacing w:after="0" w:line="240" w:lineRule="auto"/>
        <w:rPr>
          <w:rStyle w:val="Emphasis"/>
          <w:rFonts w:asciiTheme="minorHAnsi" w:hAnsiTheme="minorHAnsi" w:cstheme="minorHAnsi"/>
          <w:bCs/>
          <w:i w:val="0"/>
          <w:color w:val="auto"/>
          <w:sz w:val="21"/>
          <w:szCs w:val="21"/>
          <w:shd w:val="clear" w:color="auto" w:fill="FFFFFF"/>
        </w:rPr>
      </w:pPr>
    </w:p>
    <w:p w14:paraId="440A3682" w14:textId="77777777" w:rsidR="006B1149" w:rsidRPr="006B1149" w:rsidRDefault="006B1149" w:rsidP="006B1149">
      <w:pPr>
        <w:pStyle w:val="Bodytext"/>
        <w:spacing w:after="0" w:line="240" w:lineRule="auto"/>
        <w:ind w:firstLine="0"/>
        <w:rPr>
          <w:rStyle w:val="Emphasis"/>
          <w:rFonts w:asciiTheme="minorHAnsi" w:hAnsiTheme="minorHAnsi" w:cstheme="minorHAnsi"/>
          <w:bCs/>
          <w:i w:val="0"/>
          <w:color w:val="auto"/>
          <w:sz w:val="21"/>
          <w:szCs w:val="21"/>
          <w:shd w:val="clear" w:color="auto" w:fill="FFFFFF"/>
        </w:rPr>
      </w:pPr>
      <w:r w:rsidRPr="006B1149">
        <w:rPr>
          <w:rStyle w:val="Emphasis"/>
          <w:rFonts w:asciiTheme="minorHAnsi" w:hAnsiTheme="minorHAnsi" w:cstheme="minorHAnsi"/>
          <w:bCs/>
          <w:i w:val="0"/>
          <w:color w:val="auto"/>
          <w:sz w:val="21"/>
          <w:szCs w:val="21"/>
          <w:shd w:val="clear" w:color="auto" w:fill="FFFFFF"/>
        </w:rPr>
        <w:t>As our previous research has pointed out, Wisconsin lags other states in attracting the most educated workers, who tend to be more mobile than other populations. Since attracting college graduates from other states seems to be a bigger problem for Wisconsin than retaining those who grow up here, strategies for addressing that issue are likely needed.</w:t>
      </w:r>
    </w:p>
    <w:p w14:paraId="56D9F0D1" w14:textId="77777777" w:rsidR="006B1149" w:rsidRPr="006B1149" w:rsidRDefault="006B1149" w:rsidP="006B1149">
      <w:pPr>
        <w:pStyle w:val="Bodytext"/>
        <w:spacing w:after="0" w:line="240" w:lineRule="auto"/>
        <w:rPr>
          <w:rStyle w:val="Emphasis"/>
          <w:rFonts w:asciiTheme="minorHAnsi" w:hAnsiTheme="minorHAnsi" w:cstheme="minorHAnsi"/>
          <w:bCs/>
          <w:i w:val="0"/>
          <w:color w:val="auto"/>
          <w:sz w:val="21"/>
          <w:szCs w:val="21"/>
          <w:shd w:val="clear" w:color="auto" w:fill="FFFFFF"/>
        </w:rPr>
      </w:pPr>
    </w:p>
    <w:p w14:paraId="01F868BB" w14:textId="77777777" w:rsidR="006B1149" w:rsidRPr="006B1149" w:rsidRDefault="006B1149" w:rsidP="006B1149">
      <w:pPr>
        <w:pStyle w:val="Bodytext"/>
        <w:spacing w:after="0" w:line="240" w:lineRule="auto"/>
        <w:ind w:firstLine="0"/>
        <w:rPr>
          <w:rStyle w:val="Emphasis"/>
          <w:rFonts w:asciiTheme="minorHAnsi" w:hAnsiTheme="minorHAnsi" w:cstheme="minorHAnsi"/>
          <w:bCs/>
          <w:iCs w:val="0"/>
          <w:color w:val="auto"/>
          <w:sz w:val="21"/>
          <w:szCs w:val="21"/>
          <w:shd w:val="clear" w:color="auto" w:fill="FFFFFF"/>
        </w:rPr>
      </w:pPr>
      <w:bookmarkStart w:id="0" w:name="_GoBack"/>
      <w:r w:rsidRPr="006B1149">
        <w:rPr>
          <w:rStyle w:val="Emphasis"/>
          <w:rFonts w:asciiTheme="minorHAnsi" w:hAnsiTheme="minorHAnsi" w:cstheme="minorHAnsi"/>
          <w:bCs/>
          <w:iCs w:val="0"/>
          <w:color w:val="auto"/>
          <w:sz w:val="21"/>
          <w:szCs w:val="21"/>
          <w:shd w:val="clear" w:color="auto" w:fill="FFFFFF"/>
        </w:rPr>
        <w:t>This information is a service of the Wisconsin Policy Forum, the state’s leading resource for nonpartisan state and local government research and civic education. Learn more at wispolicyforum.org.</w:t>
      </w:r>
    </w:p>
    <w:bookmarkEnd w:id="0"/>
    <w:p w14:paraId="13E4A33E" w14:textId="77777777" w:rsidR="00F324FF" w:rsidRPr="00BC5CC2" w:rsidRDefault="00F324FF">
      <w:pPr>
        <w:pStyle w:val="Bodytext"/>
        <w:spacing w:after="0" w:line="240" w:lineRule="auto"/>
        <w:ind w:firstLine="0"/>
        <w:rPr>
          <w:rFonts w:asciiTheme="minorHAnsi" w:hAnsiTheme="minorHAnsi" w:cstheme="minorHAnsi"/>
        </w:rPr>
      </w:pPr>
    </w:p>
    <w:p w14:paraId="4866042F" w14:textId="77777777" w:rsidR="006B1149" w:rsidRPr="00BC5CC2" w:rsidRDefault="006B1149">
      <w:pPr>
        <w:pStyle w:val="Bodytext"/>
        <w:spacing w:after="0" w:line="240" w:lineRule="auto"/>
        <w:ind w:firstLine="0"/>
        <w:rPr>
          <w:rFonts w:asciiTheme="minorHAnsi" w:hAnsiTheme="minorHAnsi" w:cstheme="minorHAnsi"/>
        </w:rPr>
      </w:pPr>
    </w:p>
    <w:sectPr w:rsidR="006B1149" w:rsidRPr="00BC5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CAC"/>
    <w:multiLevelType w:val="hybridMultilevel"/>
    <w:tmpl w:val="DB3C227A"/>
    <w:lvl w:ilvl="0" w:tplc="4634ADE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4E4DAF"/>
    <w:multiLevelType w:val="multilevel"/>
    <w:tmpl w:val="EF8ED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4325AC"/>
    <w:multiLevelType w:val="multilevel"/>
    <w:tmpl w:val="D99C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B9"/>
    <w:rsid w:val="00001A83"/>
    <w:rsid w:val="0001791B"/>
    <w:rsid w:val="00037BD9"/>
    <w:rsid w:val="00044DDF"/>
    <w:rsid w:val="000971C7"/>
    <w:rsid w:val="00105B94"/>
    <w:rsid w:val="001161A7"/>
    <w:rsid w:val="00163762"/>
    <w:rsid w:val="001B73EF"/>
    <w:rsid w:val="002E300D"/>
    <w:rsid w:val="0031370C"/>
    <w:rsid w:val="0033358F"/>
    <w:rsid w:val="00373A9C"/>
    <w:rsid w:val="00375255"/>
    <w:rsid w:val="003B0E30"/>
    <w:rsid w:val="003C5B6F"/>
    <w:rsid w:val="003C7D6C"/>
    <w:rsid w:val="0046332B"/>
    <w:rsid w:val="004748DA"/>
    <w:rsid w:val="00532FC3"/>
    <w:rsid w:val="00547CE1"/>
    <w:rsid w:val="0058316D"/>
    <w:rsid w:val="005A2797"/>
    <w:rsid w:val="006155C8"/>
    <w:rsid w:val="006573A2"/>
    <w:rsid w:val="006B1149"/>
    <w:rsid w:val="006B2B31"/>
    <w:rsid w:val="006B6DF7"/>
    <w:rsid w:val="006D5A1E"/>
    <w:rsid w:val="00704C82"/>
    <w:rsid w:val="00726D69"/>
    <w:rsid w:val="00771A97"/>
    <w:rsid w:val="007A7B64"/>
    <w:rsid w:val="007B1A01"/>
    <w:rsid w:val="0083637B"/>
    <w:rsid w:val="008908C3"/>
    <w:rsid w:val="00891CF7"/>
    <w:rsid w:val="008E124F"/>
    <w:rsid w:val="00934E97"/>
    <w:rsid w:val="00A03CA2"/>
    <w:rsid w:val="00A30C8D"/>
    <w:rsid w:val="00A75792"/>
    <w:rsid w:val="00AC6ABC"/>
    <w:rsid w:val="00B4774C"/>
    <w:rsid w:val="00B848F6"/>
    <w:rsid w:val="00BB5490"/>
    <w:rsid w:val="00BB5C64"/>
    <w:rsid w:val="00BC5CC2"/>
    <w:rsid w:val="00C458B9"/>
    <w:rsid w:val="00C81FCF"/>
    <w:rsid w:val="00C84E06"/>
    <w:rsid w:val="00C87DFF"/>
    <w:rsid w:val="00D278E6"/>
    <w:rsid w:val="00D67419"/>
    <w:rsid w:val="00D70F17"/>
    <w:rsid w:val="00D81694"/>
    <w:rsid w:val="00D97A75"/>
    <w:rsid w:val="00DC7FD9"/>
    <w:rsid w:val="00DD33CE"/>
    <w:rsid w:val="00E53DF6"/>
    <w:rsid w:val="00EC1FC6"/>
    <w:rsid w:val="00F324FF"/>
    <w:rsid w:val="00F56147"/>
    <w:rsid w:val="00F77DBE"/>
    <w:rsid w:val="00FB1A58"/>
    <w:rsid w:val="00FC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C91A"/>
  <w15:chartTrackingRefBased/>
  <w15:docId w15:val="{239C3D39-E802-4ADA-85A4-80911005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797"/>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A7579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279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odytext">
    <w:name w:val="*Body text"/>
    <w:basedOn w:val="Normal"/>
    <w:uiPriority w:val="99"/>
    <w:rsid w:val="001B73EF"/>
    <w:pPr>
      <w:tabs>
        <w:tab w:val="left" w:pos="240"/>
      </w:tabs>
      <w:autoSpaceDE w:val="0"/>
      <w:autoSpaceDN w:val="0"/>
      <w:adjustRightInd w:val="0"/>
      <w:spacing w:after="60" w:line="272" w:lineRule="atLeast"/>
      <w:ind w:firstLine="340"/>
      <w:jc w:val="both"/>
      <w:textAlignment w:val="center"/>
    </w:pPr>
    <w:rPr>
      <w:rFonts w:ascii="Times New Roman" w:eastAsiaTheme="minorHAnsi" w:hAnsi="Times New Roman"/>
      <w:color w:val="000000"/>
    </w:rPr>
  </w:style>
  <w:style w:type="character" w:styleId="Hyperlink">
    <w:name w:val="Hyperlink"/>
    <w:basedOn w:val="DefaultParagraphFont"/>
    <w:uiPriority w:val="99"/>
    <w:unhideWhenUsed/>
    <w:rsid w:val="007B1A01"/>
    <w:rPr>
      <w:color w:val="0000FF"/>
      <w:u w:val="single"/>
    </w:rPr>
  </w:style>
  <w:style w:type="paragraph" w:styleId="NormalWeb">
    <w:name w:val="Normal (Web)"/>
    <w:basedOn w:val="Normal"/>
    <w:uiPriority w:val="99"/>
    <w:unhideWhenUsed/>
    <w:rsid w:val="00704C8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324FF"/>
    <w:rPr>
      <w:i/>
      <w:iCs/>
    </w:rPr>
  </w:style>
  <w:style w:type="character" w:customStyle="1" w:styleId="Heading1Char">
    <w:name w:val="Heading 1 Char"/>
    <w:basedOn w:val="DefaultParagraphFont"/>
    <w:link w:val="Heading1"/>
    <w:uiPriority w:val="9"/>
    <w:rsid w:val="00A7579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8575">
      <w:bodyDiv w:val="1"/>
      <w:marLeft w:val="0"/>
      <w:marRight w:val="0"/>
      <w:marTop w:val="0"/>
      <w:marBottom w:val="0"/>
      <w:divBdr>
        <w:top w:val="none" w:sz="0" w:space="0" w:color="auto"/>
        <w:left w:val="none" w:sz="0" w:space="0" w:color="auto"/>
        <w:bottom w:val="none" w:sz="0" w:space="0" w:color="auto"/>
        <w:right w:val="none" w:sz="0" w:space="0" w:color="auto"/>
      </w:divBdr>
    </w:div>
    <w:div w:id="654994952">
      <w:bodyDiv w:val="1"/>
      <w:marLeft w:val="0"/>
      <w:marRight w:val="0"/>
      <w:marTop w:val="0"/>
      <w:marBottom w:val="0"/>
      <w:divBdr>
        <w:top w:val="none" w:sz="0" w:space="0" w:color="auto"/>
        <w:left w:val="none" w:sz="0" w:space="0" w:color="auto"/>
        <w:bottom w:val="none" w:sz="0" w:space="0" w:color="auto"/>
        <w:right w:val="none" w:sz="0" w:space="0" w:color="auto"/>
      </w:divBdr>
    </w:div>
    <w:div w:id="1236742670">
      <w:bodyDiv w:val="1"/>
      <w:marLeft w:val="0"/>
      <w:marRight w:val="0"/>
      <w:marTop w:val="0"/>
      <w:marBottom w:val="0"/>
      <w:divBdr>
        <w:top w:val="none" w:sz="0" w:space="0" w:color="auto"/>
        <w:left w:val="none" w:sz="0" w:space="0" w:color="auto"/>
        <w:bottom w:val="none" w:sz="0" w:space="0" w:color="auto"/>
        <w:right w:val="none" w:sz="0" w:space="0" w:color="auto"/>
      </w:divBdr>
    </w:div>
    <w:div w:id="1750276186">
      <w:bodyDiv w:val="1"/>
      <w:marLeft w:val="0"/>
      <w:marRight w:val="0"/>
      <w:marTop w:val="0"/>
      <w:marBottom w:val="0"/>
      <w:divBdr>
        <w:top w:val="none" w:sz="0" w:space="0" w:color="auto"/>
        <w:left w:val="none" w:sz="0" w:space="0" w:color="auto"/>
        <w:bottom w:val="none" w:sz="0" w:space="0" w:color="auto"/>
        <w:right w:val="none" w:sz="0" w:space="0" w:color="auto"/>
      </w:divBdr>
      <w:divsChild>
        <w:div w:id="2034459117">
          <w:marLeft w:val="0"/>
          <w:marRight w:val="0"/>
          <w:marTop w:val="0"/>
          <w:marBottom w:val="300"/>
          <w:divBdr>
            <w:top w:val="none" w:sz="0" w:space="0" w:color="auto"/>
            <w:left w:val="none" w:sz="0" w:space="0" w:color="auto"/>
            <w:bottom w:val="none" w:sz="0" w:space="0" w:color="auto"/>
            <w:right w:val="none" w:sz="0" w:space="0" w:color="auto"/>
          </w:divBdr>
          <w:divsChild>
            <w:div w:id="6019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38859">
      <w:bodyDiv w:val="1"/>
      <w:marLeft w:val="0"/>
      <w:marRight w:val="0"/>
      <w:marTop w:val="0"/>
      <w:marBottom w:val="0"/>
      <w:divBdr>
        <w:top w:val="none" w:sz="0" w:space="0" w:color="auto"/>
        <w:left w:val="none" w:sz="0" w:space="0" w:color="auto"/>
        <w:bottom w:val="none" w:sz="0" w:space="0" w:color="auto"/>
        <w:right w:val="none" w:sz="0" w:space="0" w:color="auto"/>
      </w:divBdr>
    </w:div>
    <w:div w:id="1983121305">
      <w:bodyDiv w:val="1"/>
      <w:marLeft w:val="0"/>
      <w:marRight w:val="0"/>
      <w:marTop w:val="0"/>
      <w:marBottom w:val="0"/>
      <w:divBdr>
        <w:top w:val="none" w:sz="0" w:space="0" w:color="auto"/>
        <w:left w:val="none" w:sz="0" w:space="0" w:color="auto"/>
        <w:bottom w:val="none" w:sz="0" w:space="0" w:color="auto"/>
        <w:right w:val="none" w:sz="0" w:space="0" w:color="auto"/>
      </w:divBdr>
    </w:div>
    <w:div w:id="199887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Sommerhauser</dc:creator>
  <cp:keywords/>
  <dc:description/>
  <cp:lastModifiedBy>Jordan Schelling</cp:lastModifiedBy>
  <cp:revision>10</cp:revision>
  <dcterms:created xsi:type="dcterms:W3CDTF">2019-12-16T20:00:00Z</dcterms:created>
  <dcterms:modified xsi:type="dcterms:W3CDTF">2019-12-18T17:08:00Z</dcterms:modified>
</cp:coreProperties>
</file>